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7"/>
        <w:ind w:left="0"/>
        <w:spacing w:after="0" w:line="240" w:lineRule="auto"/>
        <w:contextualSpacing/>
        <w:jc w:val="both"/>
        <w:rPr>
          <w:b/>
          <w:bCs/>
          <w:caps/>
          <w:color w:val="000000"/>
          <w:sz w:val="32"/>
          <w:szCs w:val="32"/>
        </w:rPr>
      </w:pPr>
      <w:r>
        <w:rPr>
          <w:b/>
          <w:bCs/>
          <w:caps/>
          <w:color w:val="000000"/>
          <w:sz w:val="32"/>
          <w:szCs w:val="32"/>
        </w:rPr>
        <w:t xml:space="preserve">                                                                                                                                                                                                                                                                                                                                                                                                                                                                                                                                                      </w:t>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center"/>
        <w:rPr>
          <w:b/>
          <w:bCs/>
          <w:color w:val="000000"/>
          <w:sz w:val="36"/>
          <w:szCs w:val="36"/>
        </w:rPr>
      </w:pPr>
      <w:r>
        <w:rPr>
          <w:b/>
          <w:bCs/>
          <w:caps/>
          <w:color w:val="000000"/>
          <w:sz w:val="32"/>
          <w:szCs w:val="32"/>
        </w:rPr>
        <w:t>Отчёт</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о социально - экономическом развитии</w:t>
      </w:r>
    </w:p>
    <w:p>
      <w:pPr>
        <w:pStyle w:val="para27"/>
        <w:ind w:left="0"/>
        <w:spacing w:after="0" w:line="240" w:lineRule="auto"/>
        <w:contextualSpacing/>
        <w:jc w:val="center"/>
        <w:rPr>
          <w:b/>
          <w:bCs/>
          <w:color w:val="000000"/>
          <w:sz w:val="36"/>
          <w:szCs w:val="36"/>
        </w:rPr>
      </w:pPr>
      <w:r>
        <w:rPr>
          <w:b/>
          <w:bCs/>
          <w:color w:val="000000"/>
          <w:sz w:val="36"/>
          <w:szCs w:val="36"/>
        </w:rPr>
        <w:t xml:space="preserve">Анжеро-Судженского городского округа </w:t>
      </w:r>
    </w:p>
    <w:p>
      <w:pPr>
        <w:pStyle w:val="para27"/>
        <w:ind w:left="0"/>
        <w:spacing w:after="0" w:line="240" w:lineRule="auto"/>
        <w:contextualSpacing/>
        <w:jc w:val="center"/>
        <w:rPr>
          <w:b/>
          <w:bCs/>
          <w:color w:val="000000"/>
          <w:sz w:val="36"/>
          <w:szCs w:val="36"/>
        </w:rPr>
      </w:pPr>
      <w:r>
        <w:rPr>
          <w:b/>
          <w:bCs/>
          <w:color w:val="000000"/>
          <w:sz w:val="36"/>
          <w:szCs w:val="36"/>
        </w:rPr>
        <w:t>за 9 месяцев 2025 год</w:t>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color w:val="000000"/>
          <w:sz w:val="36"/>
          <w:szCs w:val="36"/>
        </w:rPr>
      </w:pPr>
      <w:r>
        <w:rPr>
          <w:color w:val="000000"/>
          <w:sz w:val="36"/>
          <w:szCs w:val="36"/>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pStyle w:val="para27"/>
        <w:ind w:left="0"/>
        <w:spacing w:after="0" w:line="240" w:lineRule="auto"/>
        <w:contextualSpacing/>
        <w:jc w:val="center"/>
        <w:rPr>
          <w:b/>
          <w:bCs/>
          <w:color w:val="000000"/>
        </w:rPr>
      </w:pPr>
      <w:r>
        <w:rPr>
          <w:b/>
          <w:bCs/>
          <w:color w:val="000000"/>
        </w:rPr>
        <w:t>1. ДЕМОГРАФИЧЕСКАЯ СИТУАЦИЯ</w:t>
      </w:r>
    </w:p>
    <w:p>
      <w:pPr>
        <w:pStyle w:val="para27"/>
        <w:ind w:left="0"/>
        <w:spacing w:after="0" w:line="240" w:lineRule="auto"/>
        <w:contextualSpacing/>
        <w:jc w:val="center"/>
        <w:rPr>
          <w:color w:val="000000"/>
        </w:rPr>
      </w:pPr>
      <w:r>
        <w:rPr>
          <w:color w:val="000000"/>
        </w:rPr>
      </w:r>
    </w:p>
    <w:p>
      <w:pPr>
        <w:ind w:firstLine="720"/>
        <w:spacing/>
        <w:contextualSpacing/>
        <w:jc w:val="both"/>
        <w:widowControl/>
        <w:rPr>
          <w:color w:val="000000"/>
          <w:sz w:val="24"/>
          <w:szCs w:val="24"/>
        </w:rPr>
      </w:pPr>
      <w:r>
        <w:rPr>
          <w:color w:val="000000"/>
          <w:sz w:val="24"/>
          <w:szCs w:val="24"/>
        </w:rPr>
        <w:t xml:space="preserve">Численность населения на 01.01.2025 года составляла 68622 человека. В 2025 году на основании </w:t>
      </w:r>
      <w:r>
        <w:rPr>
          <w:sz w:val="24"/>
          <w:szCs w:val="24"/>
        </w:rPr>
        <w:t xml:space="preserve">ч. 10 ст. 5 Федерального закона №282-ФЗ от 29.11.2007 доступ к данным по численности населения, в том числе св разрезе муниципальных образований, временно приостановлен. </w:t>
      </w:r>
      <w:r>
        <w:rPr>
          <w:color w:val="000000"/>
          <w:sz w:val="24"/>
          <w:szCs w:val="24"/>
        </w:rPr>
        <w:t>С учётом сложившейся ситуации, официальная информация имеется только на 01.01.2025. Оценочно на 01.05.2025 численность населения Анжеро-Судженского городского округа сократилось на 0,5% (в абсолютных числах на 347 человек) и по итогу составила 68275 человек.</w:t>
      </w:r>
      <w:r>
        <w:rPr>
          <w:color w:val="000000"/>
          <w:sz w:val="24"/>
          <w:szCs w:val="24"/>
        </w:rPr>
      </w:r>
    </w:p>
    <w:p>
      <w:pPr>
        <w:ind w:firstLine="720"/>
        <w:spacing/>
        <w:contextualSpacing/>
        <w:jc w:val="both"/>
        <w:widowControl/>
        <w:rPr>
          <w:color w:val="000000"/>
          <w:sz w:val="24"/>
          <w:szCs w:val="24"/>
        </w:rPr>
      </w:pPr>
      <w:r>
        <w:rPr>
          <w:color w:val="000000"/>
          <w:sz w:val="24"/>
          <w:szCs w:val="24"/>
        </w:rPr>
      </w:r>
    </w:p>
    <w:p>
      <w:pPr>
        <w:spacing/>
        <w:contextualSpacing/>
        <w:jc w:val="center"/>
        <w:widowControl/>
        <w:rPr>
          <w:b/>
          <w:color w:val="000000"/>
          <w:sz w:val="24"/>
          <w:szCs w:val="24"/>
        </w:rPr>
      </w:pPr>
      <w:r>
        <w:rPr>
          <w:b/>
          <w:color w:val="000000"/>
          <w:sz w:val="24"/>
          <w:szCs w:val="24"/>
        </w:rPr>
        <w:t>2. ПРОМЫШЛЕННОСТЬ</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За январь - сентябрь 2025 года промышленное производство городского округа снизило отгрузку произведённой продукции, оказанных услуг в сравнении с аналогичным периодом предыдущего года на 18,9%. Промышленными предприятиями городского округа отгружено продукции на 93,97 миллиарда рублей, что на 21,84 млрд рублей меньше аналогичного периода прошлого года. При этом следует отметить, что спад производства наблюдается по добыче полезных ископаемых и обрабатывающим производствам. По обеспечению электрической энергией, газом и паром, кондиционирование воздуха, а также в сфере организации водоснабжения, водоотведения и организации сбора и утилизации отходов сохраняется положительная динамика.</w:t>
      </w:r>
    </w:p>
    <w:p>
      <w:pPr>
        <w:ind w:firstLine="709"/>
        <w:spacing/>
        <w:contextualSpacing/>
        <w:jc w:val="right"/>
        <w:widowControl/>
        <w:rPr>
          <w:b/>
          <w:color w:val="000000"/>
        </w:rPr>
      </w:pPr>
      <w:r>
        <w:rPr>
          <w:b/>
          <w:color w:val="000000"/>
          <w:sz w:val="24"/>
          <w:szCs w:val="24"/>
        </w:rPr>
        <w:t>Динамика структуры промышленного производства, тыс. руб.</w:t>
      </w:r>
      <w:r>
        <w:rPr>
          <w:b/>
          <w:color w:val="000000"/>
        </w:rPr>
      </w:r>
    </w:p>
    <w:tbl>
      <w:tblPr>
        <w:tblStyle w:val="NormalTable"/>
        <w:name w:val="Таблица2"/>
        <w:tabOrder w:val="0"/>
        <w:jc w:val="left"/>
        <w:tblInd w:w="-8" w:type="dxa"/>
        <w:tblW w:w="10073" w:type="dxa"/>
        <w:pPr>
          <w:ind w:left="-8"/>
        </w:pPr>
        <w:tblLook w:val="0600" w:firstRow="0" w:lastRow="0" w:firstColumn="0" w:lastColumn="0" w:noHBand="1" w:noVBand="1"/>
      </w:tblPr>
      <w:tblGrid>
        <w:gridCol w:w="3063"/>
        <w:gridCol w:w="1771"/>
        <w:gridCol w:w="1182"/>
        <w:gridCol w:w="1483"/>
        <w:gridCol w:w="1182"/>
        <w:gridCol w:w="1392"/>
      </w:tblGrid>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color w:val="000000"/>
              </w:rPr>
            </w:pPr>
            <w:r>
              <w:rPr>
                <w:b/>
                <w:color w:val="000000"/>
              </w:rPr>
              <w:t>Виды производств</w:t>
            </w:r>
            <w:r>
              <w:rPr>
                <w:color w:val="000000"/>
              </w:rPr>
            </w:r>
          </w:p>
        </w:tc>
        <w:tc>
          <w:tcPr>
            <w:tcW w:w="17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color w:val="000000"/>
              </w:rPr>
            </w:pPr>
            <w:r>
              <w:rPr>
                <w:b/>
                <w:color w:val="000000"/>
              </w:rPr>
              <w:t>Январь - сентябрь</w:t>
            </w:r>
          </w:p>
          <w:p>
            <w:pPr>
              <w:pStyle w:val="para27"/>
              <w:ind w:left="0"/>
              <w:spacing w:after="0" w:line="240" w:lineRule="auto"/>
              <w:contextualSpacing/>
              <w:jc w:val="center"/>
              <w:rPr>
                <w:b/>
                <w:color w:val="000000"/>
              </w:rPr>
            </w:pPr>
            <w:r>
              <w:rPr>
                <w:b/>
                <w:color w:val="000000"/>
              </w:rPr>
              <w:t>2025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4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color w:val="000000"/>
              </w:rPr>
            </w:pPr>
            <w:r>
              <w:rPr>
                <w:b/>
                <w:color w:val="000000"/>
              </w:rPr>
              <w:t>Январь - сентябрь 2024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39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color w:val="000000"/>
              </w:rPr>
            </w:pPr>
            <w:r>
              <w:rPr>
                <w:b/>
                <w:color w:val="000000"/>
              </w:rPr>
              <w:t>Темп роста (спада), %</w:t>
            </w:r>
            <w:r>
              <w:rPr>
                <w:color w:val="000000"/>
              </w:rPr>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color w:val="000000"/>
              </w:rPr>
            </w:pPr>
            <w:r>
              <w:rPr>
                <w:color w:val="000000"/>
              </w:rPr>
              <w:t>Добыча полезных ископаемых</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1 534 759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1,6</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2 692 585</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2,3</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57,0</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color w:val="000000"/>
              </w:rPr>
            </w:pPr>
            <w:r>
              <w:rPr>
                <w:color w:val="000000"/>
              </w:rPr>
              <w:t>Обрабатывающие производства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r>
          </w:p>
          <w:p>
            <w:pPr>
              <w:spacing/>
              <w:jc w:val="center"/>
              <w:rPr>
                <w:color w:val="000000"/>
                <w:sz w:val="24"/>
                <w:szCs w:val="24"/>
              </w:rPr>
            </w:pPr>
            <w:r>
              <w:rPr>
                <w:color w:val="000000"/>
                <w:sz w:val="24"/>
                <w:szCs w:val="24"/>
              </w:rPr>
              <w:t>90 796 083</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96,6</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111 533 492</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96,3</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81,4</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color w:val="000000"/>
              </w:rPr>
            </w:pPr>
            <w:r>
              <w:rPr>
                <w:color w:val="000000"/>
              </w:rPr>
              <w:t>Обеспечение электрической энергией, газом и паром кондиционирование воздуха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1 236 188</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1,3</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1 205 379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102,6</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color w:val="000000"/>
              </w:rPr>
            </w:pPr>
            <w:r>
              <w:rPr>
                <w:color w:val="000000"/>
              </w:rPr>
              <w:t>Водоснабжение, водоотведение, организация сбора и утилизации отходов</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402 897</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0,4</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377 318</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0,3</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color w:val="000000"/>
                <w:sz w:val="24"/>
                <w:szCs w:val="24"/>
              </w:rPr>
            </w:pPr>
            <w:r>
              <w:rPr>
                <w:color w:val="000000"/>
                <w:sz w:val="24"/>
                <w:szCs w:val="24"/>
              </w:rPr>
              <w:t>106,8</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both"/>
              <w:rPr>
                <w:b/>
                <w:bCs/>
                <w:color w:val="000000"/>
              </w:rPr>
            </w:pPr>
            <w:r>
              <w:rPr>
                <w:b/>
                <w:bCs/>
                <w:color w:val="000000"/>
              </w:rPr>
              <w:t xml:space="preserve">Итого </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b/>
                <w:bCs/>
                <w:color w:val="000000"/>
                <w:sz w:val="24"/>
                <w:szCs w:val="24"/>
              </w:rPr>
            </w:pPr>
            <w:r>
              <w:rPr>
                <w:b/>
                <w:bCs/>
                <w:color w:val="000000"/>
                <w:sz w:val="24"/>
                <w:szCs w:val="24"/>
              </w:rPr>
              <w:t>93 969 927</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bCs/>
                <w:color w:val="000000"/>
              </w:rPr>
            </w:pPr>
            <w:r>
              <w:rPr>
                <w:b/>
                <w:bCs/>
                <w:color w:val="000000"/>
              </w:rPr>
              <w:t>100</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b/>
                <w:bCs/>
                <w:color w:val="000000"/>
                <w:sz w:val="24"/>
                <w:szCs w:val="24"/>
              </w:rPr>
            </w:pPr>
            <w:r>
              <w:rPr>
                <w:b/>
                <w:bCs/>
                <w:color w:val="000000"/>
                <w:sz w:val="24"/>
                <w:szCs w:val="24"/>
              </w:rPr>
              <w:t>115 808 774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pStyle w:val="para27"/>
              <w:ind w:left="0"/>
              <w:spacing w:after="0" w:line="240" w:lineRule="auto"/>
              <w:contextualSpacing/>
              <w:jc w:val="center"/>
              <w:rPr>
                <w:b/>
                <w:bCs/>
                <w:color w:val="000000"/>
              </w:rPr>
            </w:pPr>
            <w:r>
              <w:rPr>
                <w:b/>
                <w:bCs/>
                <w:color w:val="000000"/>
              </w:rPr>
              <w:t>100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jc w:val="center"/>
              <w:rPr>
                <w:b/>
                <w:bCs/>
                <w:color w:val="000000"/>
                <w:sz w:val="24"/>
                <w:szCs w:val="24"/>
              </w:rPr>
            </w:pPr>
            <w:r>
              <w:rPr>
                <w:b/>
                <w:bCs/>
                <w:color w:val="000000"/>
                <w:sz w:val="24"/>
                <w:szCs w:val="24"/>
              </w:rPr>
              <w:t>81,1</w:t>
            </w:r>
          </w:p>
        </w:tc>
      </w:tr>
    </w:tbl>
    <w:p>
      <w:pPr>
        <w:ind w:firstLine="720"/>
        <w:spacing/>
        <w:contextualSpacing/>
        <w:jc w:val="both"/>
        <w:widowControl/>
        <w:rPr>
          <w:color w:val="000000"/>
          <w:sz w:val="24"/>
          <w:szCs w:val="24"/>
        </w:rPr>
      </w:pPr>
      <w:r>
        <w:rPr>
          <w:color w:val="000000"/>
          <w:sz w:val="24"/>
          <w:szCs w:val="24"/>
        </w:rPr>
        <w:t xml:space="preserve">В разрезе крупных и средних предприятий, за отчётный период 2025 г. рост производства отмечается в следующих отраслях: </w:t>
      </w:r>
    </w:p>
    <w:p>
      <w:pPr>
        <w:ind w:firstLine="720"/>
        <w:spacing/>
        <w:contextualSpacing/>
        <w:jc w:val="both"/>
        <w:widowControl/>
        <w:rPr>
          <w:color w:val="000000"/>
          <w:sz w:val="24"/>
          <w:szCs w:val="24"/>
        </w:rPr>
      </w:pPr>
      <w:r>
        <w:rPr>
          <w:color w:val="000000"/>
          <w:sz w:val="24"/>
          <w:szCs w:val="24"/>
        </w:rPr>
        <w:t>-добыча прочих полезных ископаемых –на 25,2%;</w:t>
      </w:r>
    </w:p>
    <w:p>
      <w:pPr>
        <w:ind w:firstLine="720"/>
        <w:spacing/>
        <w:contextualSpacing/>
        <w:jc w:val="both"/>
        <w:widowControl/>
        <w:rPr>
          <w:color w:val="000000"/>
          <w:sz w:val="24"/>
          <w:szCs w:val="24"/>
        </w:rPr>
      </w:pPr>
      <w:r>
        <w:rPr>
          <w:color w:val="000000"/>
          <w:sz w:val="24"/>
          <w:szCs w:val="24"/>
        </w:rPr>
        <w:t>-производство, передача и распределение пара и горячей воды, кондиционирование воздуха - на 8,2%.</w:t>
      </w:r>
    </w:p>
    <w:p>
      <w:pPr>
        <w:ind w:firstLine="720"/>
        <w:spacing/>
        <w:contextualSpacing/>
        <w:jc w:val="both"/>
        <w:widowControl/>
        <w:rPr>
          <w:color w:val="000000"/>
          <w:sz w:val="24"/>
          <w:szCs w:val="24"/>
        </w:rPr>
      </w:pPr>
      <w:r>
        <w:rPr>
          <w:color w:val="000000"/>
          <w:sz w:val="24"/>
          <w:szCs w:val="24"/>
        </w:rPr>
        <w:t>-водоснабжение; водоотведение, организация сбора и утилизации отходов, деятельность по ликвидации загрязнений - на 11,5%.</w:t>
      </w:r>
    </w:p>
    <w:p>
      <w:pPr>
        <w:ind w:firstLine="709"/>
        <w:spacing/>
        <w:contextualSpacing/>
        <w:jc w:val="both"/>
        <w:widowControl/>
        <w:rPr>
          <w:color w:val="000000"/>
          <w:sz w:val="24"/>
          <w:szCs w:val="24"/>
        </w:rPr>
      </w:pPr>
      <w:r>
        <w:rPr>
          <w:color w:val="000000"/>
          <w:sz w:val="24"/>
          <w:szCs w:val="24"/>
        </w:rPr>
        <w:t>В большинстве же производств отмечается снижение объёмов, а именно:</w:t>
      </w:r>
    </w:p>
    <w:p>
      <w:pPr>
        <w:ind w:firstLine="709"/>
        <w:spacing/>
        <w:contextualSpacing/>
        <w:jc w:val="both"/>
        <w:widowControl/>
        <w:rPr>
          <w:color w:val="000000"/>
          <w:sz w:val="24"/>
          <w:szCs w:val="24"/>
        </w:rPr>
      </w:pPr>
      <w:r>
        <w:rPr>
          <w:color w:val="000000"/>
          <w:sz w:val="24"/>
          <w:szCs w:val="24"/>
        </w:rPr>
        <w:t>-на производством лекарственных средств и материалов,</w:t>
      </w:r>
      <w:r>
        <w:rPr>
          <w:i/>
          <w:iCs/>
          <w:color w:val="000000"/>
          <w:sz w:val="24"/>
          <w:szCs w:val="24"/>
        </w:rPr>
        <w:t xml:space="preserve"> п</w:t>
      </w:r>
      <w:r>
        <w:rPr>
          <w:color w:val="000000"/>
          <w:sz w:val="24"/>
          <w:szCs w:val="24"/>
        </w:rPr>
        <w:t>рименяемых в медицинских целях</w:t>
      </w:r>
      <w:r>
        <w:rPr>
          <w:i/>
          <w:iCs/>
          <w:color w:val="000000"/>
          <w:sz w:val="24"/>
          <w:szCs w:val="24"/>
        </w:rPr>
        <w:t xml:space="preserve"> - </w:t>
      </w:r>
      <w:r>
        <w:rPr>
          <w:color w:val="000000"/>
          <w:sz w:val="24"/>
          <w:szCs w:val="24"/>
        </w:rPr>
        <w:t>на 6,5%,</w:t>
      </w:r>
    </w:p>
    <w:p>
      <w:pPr>
        <w:ind w:firstLine="709"/>
        <w:spacing/>
        <w:contextualSpacing/>
        <w:jc w:val="both"/>
        <w:widowControl/>
        <w:rPr>
          <w:color w:val="000000"/>
          <w:sz w:val="24"/>
          <w:szCs w:val="24"/>
        </w:rPr>
      </w:pPr>
      <w:r>
        <w:rPr>
          <w:color w:val="000000"/>
          <w:sz w:val="24"/>
          <w:szCs w:val="24"/>
        </w:rPr>
        <w:t>-добыча угля - в 2,5 раза,</w:t>
      </w:r>
    </w:p>
    <w:p>
      <w:pPr>
        <w:ind w:firstLine="709"/>
        <w:spacing/>
        <w:contextualSpacing/>
        <w:jc w:val="both"/>
        <w:widowControl/>
        <w:rPr>
          <w:color w:val="000000"/>
          <w:sz w:val="24"/>
          <w:szCs w:val="24"/>
        </w:rPr>
      </w:pPr>
      <w:r>
        <w:rPr>
          <w:color w:val="000000"/>
          <w:sz w:val="24"/>
          <w:szCs w:val="24"/>
        </w:rPr>
        <w:t>-производство пищевых продуктов - на 19,4%,</w:t>
      </w:r>
    </w:p>
    <w:p>
      <w:pPr>
        <w:ind w:firstLine="720"/>
        <w:spacing/>
        <w:contextualSpacing/>
        <w:jc w:val="both"/>
        <w:widowControl/>
        <w:rPr>
          <w:color w:val="000000"/>
          <w:sz w:val="24"/>
          <w:szCs w:val="24"/>
        </w:rPr>
      </w:pPr>
      <w:r>
        <w:rPr>
          <w:color w:val="000000"/>
          <w:sz w:val="24"/>
          <w:szCs w:val="24"/>
        </w:rPr>
        <w:t>-производство кокса и нефтепродуктов на 18,6%,</w:t>
      </w:r>
    </w:p>
    <w:p>
      <w:pPr>
        <w:ind w:firstLine="720"/>
        <w:spacing/>
        <w:contextualSpacing/>
        <w:jc w:val="both"/>
        <w:widowControl/>
        <w:rPr>
          <w:color w:val="000000"/>
          <w:sz w:val="24"/>
          <w:szCs w:val="24"/>
        </w:rPr>
      </w:pPr>
      <w:r>
        <w:rPr>
          <w:color w:val="000000"/>
          <w:sz w:val="24"/>
          <w:szCs w:val="24"/>
        </w:rPr>
        <w:t>-ремонт и монтаж машин и оборудования - в 50 раз,</w:t>
      </w:r>
    </w:p>
    <w:p>
      <w:pPr>
        <w:ind w:firstLine="720"/>
        <w:spacing/>
        <w:contextualSpacing/>
        <w:jc w:val="both"/>
        <w:widowControl/>
        <w:rPr>
          <w:color w:val="000000"/>
          <w:sz w:val="24"/>
          <w:szCs w:val="24"/>
        </w:rPr>
      </w:pPr>
      <w:r>
        <w:rPr>
          <w:color w:val="000000"/>
          <w:sz w:val="24"/>
          <w:szCs w:val="24"/>
        </w:rPr>
        <w:t>-производство машин и оборудования, не включённых в другие группы - на 36,7%.</w:t>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Основным направлением, определяющим динамику объёмов отгруженной продукции промышленности в городском округе, по-прежнему, является нефтеперерабатывающая отрасль, которая занимает более 90% в объемах произведённой и отгруженной продукции. Сложившаяся ситуация на внешних и внутренних «нефтяных» рынках не позволяют делать оптимистичных прогнозов. Данная тенденция сохранится, как минимум, до конца 2025 года.</w:t>
      </w:r>
    </w:p>
    <w:p>
      <w:pPr>
        <w:spacing/>
        <w:contextualSpacing/>
        <w:jc w:val="both"/>
        <w:widowControl/>
        <w:rPr>
          <w:color w:val="0000ff"/>
          <w:sz w:val="24"/>
          <w:szCs w:val="24"/>
        </w:rPr>
      </w:pPr>
      <w:r>
        <w:rPr>
          <w:color w:val="0000ff"/>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3. ИНВЕСТИЦИИ</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 развитие экономики и социальной сферы за 1 полугодие 2025 года вложено 5,1 млрд рублей, что на 29,1% больше уровня инвестиций за аналогичный период 2024 года.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На долю крупных и средних предприятий приходится 94,8% всего объёма инвестиций.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Большая часть инвестиций крупных и средних предприятий (51,5%) была вложена в прочие машины и оборудование и составила 2 496,2 млн. руб., на здания и сооружение в рассматриваемом периоде было вложено 2 302,2 млн руб., что составляет 47,5% от общего числа инвестиций. На прочие инвестиции приходится 52,1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Собственные средства крупных и средних предприятий составили 3383,1 млн руб. – 69,7%, привлечённые – 1467,3 млн руб. (30,3%). За счёт бюджетных средств освоено 30,4 млн руб.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В большей степени, рост объёмов привлечённых в Анжеро-Судженск инвестиций обусловлен реализацией Яйским нефтеперерабатывающим заводом крупного инвестиционного проекта по строительству третьей очереди развития предприятия. На его долю приходится порядка 80% всех привлечённых инвестиций. Но в тоже время, в текущем году, на территории Анжеро-Судженского городского округа реализуются и другие инвестиционные проекты, а именно:</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 xml:space="preserve">1. ООО «АФПК» (Анжерский фанерно-плитный комбинат) - проект по созданию производства широкоформатной фанеры.  Начальные инвестиционные вложения составят 15 млн. рублей, при этом будет создано 50 новых рабочих мест. На 4 квартал планируется начало работ по установке и настройке оборудования, ремонтные работы в котельной, а также установка сушильных камер. Реализация инвестиционного проекта временно приостановлена собственником (на срок 6 месяцев).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2. ООО «Ресурс» - создание нового предприятия по добыче строительного камня. Планируемый объем инвестиций - 9 млн рублей. Будет создано 18 новых рабочих мест. 14.02.2024 года компанией был получен статус резидента ТОР «Анжеро-Судженск».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3. ООО «ЦОД – Алгоритм» - создание Центра обработки данных. Планируемый объем инвестиций - 150 млн рублей. Будет создано 30 новых рабочих мест.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4. ООО «Кузбасс Карго» - «Строительство логистического центра». Планируемый объём инвестиций 300 млн. рублей. Предполагается создание 15 новых рабочих мест (предварительно). Текущая деятельность на сегодняшний день - подготовлены инженерные изыскания по проекту строительства логистического центра, проекта автомобильной дороги, проекта примыкания к ж/д путям.</w:t>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4. СТРОИТЕЛЬСТВО И УЛУЧШЕНИЕ ЖИЛИЩНЫХ УСЛОВИЙ</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В течении 9 месяцев 2025 год на территории Анжеро-Судженского городского округа введено 4 538 кв м жилья, что на 28,8% больше аналогичного периода прошлого года. Структура введённого в отчётном периоде жилья сложилась следующим образом:</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-населением за счёт собственных средств построено 20 объектов индивидуального жилищного строительства общей площадью 2 823 кв. м., что на 19,8% меньше аналогичного периода 2024 г.;</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 xml:space="preserve">-введён в эксплуатацию 45 квартирный жилой дом, расположенный по адресу ул. К. Маркса, 3Б, общей площадью 1597 квадратных метров. В результате чего были обеспечены новой комфортной жилплощадью граждане в рамках реализации 185-ФЗ, 129-ОЗ и 134-ОЗ. </w:t>
      </w:r>
    </w:p>
    <w:p>
      <w:pPr>
        <w:spacing/>
        <w:contextualSpacing/>
        <w:jc w:val="both"/>
        <w:tabs defTabSz="720">
          <w:tab w:val="left" w:pos="741" w:leader="none"/>
        </w:tabs>
        <w:rPr>
          <w:color w:val="000000"/>
          <w:sz w:val="24"/>
          <w:szCs w:val="24"/>
        </w:rPr>
      </w:pPr>
      <w:r>
        <w:rPr>
          <w:color w:val="000000"/>
          <w:sz w:val="24"/>
          <w:szCs w:val="24"/>
        </w:rPr>
        <w:t xml:space="preserve">       Кроме того, за отчётный период уже улучшили свои жилищные условия следующие категории граждан:</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 xml:space="preserve">-дети, оставшиеся </w:t>
      </w:r>
      <w:r>
        <w:rPr>
          <w:b/>
          <w:bCs/>
          <w:color w:val="000000"/>
          <w:sz w:val="24"/>
          <w:szCs w:val="24"/>
        </w:rPr>
        <w:t>без попечения родителей</w:t>
      </w:r>
      <w:r>
        <w:rPr>
          <w:color w:val="000000"/>
          <w:sz w:val="24"/>
          <w:szCs w:val="24"/>
        </w:rPr>
        <w:t xml:space="preserve"> - выдано 12 жилищных сертификатов;</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-дети, оставшиеся</w:t>
      </w:r>
      <w:r>
        <w:rPr>
          <w:b/>
          <w:bCs/>
          <w:color w:val="000000"/>
          <w:sz w:val="24"/>
          <w:szCs w:val="24"/>
        </w:rPr>
        <w:t xml:space="preserve"> без попечения родителей</w:t>
      </w:r>
      <w:r>
        <w:rPr>
          <w:color w:val="000000"/>
          <w:sz w:val="24"/>
          <w:szCs w:val="24"/>
        </w:rPr>
        <w:t xml:space="preserve"> - 24 жилых помещений;</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-30 квартир  приобретено (процедура находится на стадии оформления документов);</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молодая семья</w:t>
      </w:r>
      <w:r>
        <w:rPr>
          <w:color w:val="000000"/>
          <w:sz w:val="24"/>
          <w:szCs w:val="24"/>
        </w:rPr>
        <w:t xml:space="preserve"> - выдано 2 жилищных сертификата;</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ГУРШ</w:t>
      </w:r>
      <w:r>
        <w:rPr>
          <w:color w:val="000000"/>
          <w:sz w:val="24"/>
          <w:szCs w:val="24"/>
        </w:rPr>
        <w:t xml:space="preserve"> (</w:t>
      </w:r>
      <w:r>
        <w:rPr>
          <w:i/>
          <w:iCs/>
          <w:color w:val="000000"/>
          <w:sz w:val="24"/>
          <w:szCs w:val="24"/>
        </w:rPr>
        <w:t>переселение из жилья, находящегося на подработанных территориях ликвидированных шахт города</w:t>
      </w:r>
      <w:r>
        <w:rPr>
          <w:color w:val="000000"/>
          <w:sz w:val="24"/>
          <w:szCs w:val="24"/>
        </w:rPr>
        <w:t>) – выделены денежные средства 38 семьям.</w:t>
      </w:r>
    </w:p>
    <w:p>
      <w:pPr>
        <w:spacing/>
        <w:contextualSpacing/>
        <w:jc w:val="both"/>
        <w:rPr>
          <w:color w:val="000000"/>
          <w:sz w:val="24"/>
          <w:szCs w:val="24"/>
        </w:rPr>
      </w:pPr>
      <w:r>
        <w:rPr>
          <w:color w:val="000000"/>
          <w:sz w:val="24"/>
          <w:szCs w:val="24"/>
        </w:rPr>
      </w:r>
    </w:p>
    <w:p>
      <w:pPr>
        <w:spacing/>
        <w:contextualSpacing/>
        <w:jc w:val="center"/>
        <w:widowControl/>
        <w:rPr>
          <w:rFonts w:eastAsia="Calibri"/>
          <w:color w:val="000000"/>
          <w:sz w:val="24"/>
          <w:szCs w:val="24"/>
          <w:lang w:eastAsia="en-us"/>
        </w:rPr>
      </w:pPr>
      <w:r>
        <w:rPr>
          <w:rFonts w:eastAsia="Calibri"/>
          <w:color w:val="000000"/>
          <w:sz w:val="24"/>
          <w:szCs w:val="24"/>
          <w:lang w:eastAsia="en-us"/>
        </w:rPr>
      </w:r>
    </w:p>
    <w:p>
      <w:pPr>
        <w:spacing/>
        <w:contextualSpacing/>
        <w:jc w:val="center"/>
        <w:widowControl/>
        <w:rPr>
          <w:b/>
          <w:color w:val="000000"/>
          <w:sz w:val="24"/>
          <w:szCs w:val="24"/>
        </w:rPr>
      </w:pPr>
      <w:r>
        <w:rPr>
          <w:b/>
          <w:color w:val="000000"/>
          <w:sz w:val="24"/>
          <w:szCs w:val="24"/>
        </w:rPr>
        <w:t>5. МАЛЫЙ И СРЕДНИЙ БИЗНЕС</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На 01.10.2025 года по данным единого реестра субъектов малого и среднего предпринимательства фактическое число субъектов малого и среднего предпринимательства по Анжеро-Судженскому городскому округу составило 1161 единиц. </w:t>
      </w:r>
    </w:p>
    <w:p>
      <w:pPr>
        <w:ind w:firstLine="720"/>
        <w:spacing/>
        <w:contextualSpacing/>
        <w:jc w:val="both"/>
        <w:widowControl/>
        <w:rPr>
          <w:rFonts w:eastAsia="Calibri"/>
          <w:color w:val="000000"/>
          <w:sz w:val="24"/>
          <w:szCs w:val="24"/>
        </w:rPr>
      </w:pPr>
      <w:r>
        <w:rPr>
          <w:rFonts w:eastAsia="Calibri"/>
          <w:color w:val="000000"/>
          <w:sz w:val="24"/>
          <w:szCs w:val="24"/>
        </w:rPr>
        <w:t xml:space="preserve">В целях популяризации предпринимательской деятельности на постоянной основе размещаются информационные материалы в средствах массовой информации по вопросам предпринимательской деятельности. За 9 месяцев 2025 года в СМИ размещено 73 публикации. </w:t>
      </w:r>
    </w:p>
    <w:p>
      <w:pPr>
        <w:ind w:firstLine="720"/>
        <w:spacing/>
        <w:contextualSpacing/>
        <w:jc w:val="both"/>
        <w:widowControl/>
        <w:rPr>
          <w:rFonts w:eastAsia="Calibri"/>
          <w:color w:val="000000"/>
          <w:sz w:val="24"/>
          <w:szCs w:val="24"/>
        </w:rPr>
      </w:pPr>
      <w:r>
        <w:rPr>
          <w:rFonts w:eastAsia="Calibri"/>
          <w:color w:val="000000"/>
          <w:sz w:val="24"/>
          <w:szCs w:val="24"/>
        </w:rPr>
        <w:t>За отчётный период субъектами малого и среднего предпринимательства создано 245 новых рабочих мест, из них индивидуальными предпринимателями- 232, малыми и средними - 13.</w:t>
      </w:r>
    </w:p>
    <w:p>
      <w:pPr>
        <w:ind w:firstLine="720"/>
        <w:spacing/>
        <w:contextualSpacing/>
        <w:jc w:val="both"/>
        <w:widowControl/>
        <w:rPr>
          <w:rFonts w:eastAsia="Calibri"/>
          <w:color w:val="000000"/>
          <w:sz w:val="24"/>
          <w:szCs w:val="24"/>
        </w:rPr>
      </w:pPr>
      <w:r>
        <w:rPr>
          <w:rFonts w:eastAsia="Calibri"/>
          <w:color w:val="000000"/>
          <w:sz w:val="24"/>
          <w:szCs w:val="24"/>
        </w:rPr>
        <w:t xml:space="preserve">В период с января по сентябрь 2025 года, в центре поддержки предпринимательства, получили консультации по различным вопросам 180 субъектов малого и среднего предпринимательства, а именно: </w:t>
      </w:r>
    </w:p>
    <w:p>
      <w:pPr>
        <w:ind w:firstLine="720"/>
        <w:spacing/>
        <w:contextualSpacing/>
        <w:jc w:val="both"/>
        <w:widowControl/>
        <w:rPr>
          <w:rFonts w:eastAsia="Calibri"/>
          <w:color w:val="000000"/>
          <w:sz w:val="24"/>
          <w:szCs w:val="24"/>
        </w:rPr>
      </w:pPr>
      <w:r>
        <w:rPr>
          <w:rFonts w:eastAsia="Calibri"/>
          <w:color w:val="000000"/>
          <w:sz w:val="24"/>
          <w:szCs w:val="24"/>
        </w:rPr>
        <w:t xml:space="preserve">-регистрация новых СМСП, </w:t>
      </w:r>
    </w:p>
    <w:p>
      <w:pPr>
        <w:ind w:firstLine="720"/>
        <w:spacing/>
        <w:contextualSpacing/>
        <w:jc w:val="both"/>
        <w:widowControl/>
        <w:rPr>
          <w:rFonts w:eastAsia="Calibri"/>
          <w:color w:val="000000"/>
          <w:sz w:val="24"/>
          <w:szCs w:val="24"/>
        </w:rPr>
      </w:pPr>
      <w:r>
        <w:rPr>
          <w:rFonts w:eastAsia="Calibri"/>
          <w:color w:val="000000"/>
          <w:sz w:val="24"/>
          <w:szCs w:val="24"/>
        </w:rPr>
        <w:t xml:space="preserve">-выбор основных видов экономической деятельности, </w:t>
      </w:r>
    </w:p>
    <w:p>
      <w:pPr>
        <w:ind w:firstLine="720"/>
        <w:spacing/>
        <w:contextualSpacing/>
        <w:jc w:val="both"/>
        <w:widowControl/>
        <w:rPr>
          <w:rFonts w:eastAsia="Calibri"/>
          <w:color w:val="000000"/>
          <w:sz w:val="24"/>
          <w:szCs w:val="24"/>
        </w:rPr>
      </w:pPr>
      <w:r>
        <w:rPr>
          <w:rFonts w:eastAsia="Calibri"/>
          <w:color w:val="000000"/>
          <w:sz w:val="24"/>
          <w:szCs w:val="24"/>
        </w:rPr>
        <w:t xml:space="preserve">-подача заявок на получение льготных кредитов и займов, </w:t>
      </w:r>
    </w:p>
    <w:p>
      <w:pPr>
        <w:ind w:firstLine="720"/>
        <w:spacing/>
        <w:contextualSpacing/>
        <w:jc w:val="both"/>
        <w:widowControl/>
        <w:rPr>
          <w:rFonts w:eastAsia="Calibri"/>
          <w:color w:val="000000"/>
          <w:sz w:val="24"/>
          <w:szCs w:val="24"/>
        </w:rPr>
      </w:pPr>
      <w:r>
        <w:rPr>
          <w:rFonts w:eastAsia="Calibri"/>
          <w:color w:val="000000"/>
          <w:sz w:val="24"/>
          <w:szCs w:val="24"/>
        </w:rPr>
        <w:t>-оказание финансовой поддержки предпринимателям.</w:t>
      </w:r>
    </w:p>
    <w:p>
      <w:pPr>
        <w:ind w:firstLine="720"/>
        <w:spacing/>
        <w:contextualSpacing/>
        <w:jc w:val="both"/>
        <w:widowControl/>
        <w:rPr>
          <w:rFonts w:eastAsia="Calibri"/>
          <w:color w:val="000000"/>
          <w:sz w:val="24"/>
          <w:szCs w:val="24"/>
        </w:rPr>
      </w:pPr>
      <w:r>
        <w:rPr>
          <w:rFonts w:eastAsia="Calibri"/>
          <w:color w:val="000000"/>
          <w:sz w:val="24"/>
          <w:szCs w:val="24"/>
        </w:rPr>
        <w:t>За 9 месяцев 2025 года проведено 6 совещания с участием субъектов малого и среднего предпринимательства.</w:t>
      </w:r>
    </w:p>
    <w:p>
      <w:pPr>
        <w:ind w:firstLine="720"/>
        <w:spacing/>
        <w:contextualSpacing/>
        <w:jc w:val="both"/>
        <w:widowControl/>
        <w:rPr>
          <w:rFonts w:eastAsia="Calibri"/>
          <w:color w:val="000000"/>
          <w:sz w:val="24"/>
          <w:szCs w:val="24"/>
        </w:rPr>
      </w:pPr>
      <w:r>
        <w:rPr>
          <w:rFonts w:eastAsia="Calibri"/>
          <w:color w:val="000000"/>
          <w:sz w:val="24"/>
          <w:szCs w:val="24"/>
        </w:rPr>
        <w:t>В Анжеро-Судженском городском округе в 2025 году реализуется 1 региональный проект:</w:t>
      </w:r>
    </w:p>
    <w:p>
      <w:pPr>
        <w:ind w:firstLine="720"/>
        <w:spacing/>
        <w:contextualSpacing/>
        <w:jc w:val="both"/>
        <w:widowControl/>
        <w:rPr>
          <w:rFonts w:eastAsia="Calibri"/>
          <w:b/>
          <w:bCs/>
          <w:i/>
          <w:iCs/>
          <w:color w:val="000000"/>
          <w:sz w:val="24"/>
          <w:szCs w:val="24"/>
        </w:rPr>
      </w:pPr>
      <w:r>
        <w:rPr>
          <w:rFonts w:eastAsia="Calibri"/>
          <w:b/>
          <w:bCs/>
          <w:i/>
          <w:iCs/>
          <w:color w:val="000000"/>
          <w:sz w:val="24"/>
          <w:szCs w:val="24"/>
        </w:rPr>
        <w:t xml:space="preserve">1. Малое и среднее предпринимательство. </w:t>
      </w:r>
    </w:p>
    <w:p>
      <w:pPr>
        <w:ind w:firstLine="720"/>
        <w:spacing/>
        <w:contextualSpacing/>
        <w:jc w:val="both"/>
        <w:widowControl/>
        <w:rPr>
          <w:rFonts w:eastAsia="Calibri"/>
          <w:color w:val="000000"/>
          <w:sz w:val="24"/>
          <w:szCs w:val="24"/>
        </w:rPr>
      </w:pPr>
      <w:r>
        <w:rPr>
          <w:rFonts w:eastAsia="Calibri"/>
          <w:color w:val="000000"/>
          <w:sz w:val="24"/>
          <w:szCs w:val="24"/>
        </w:rPr>
        <w:t>Министерством экономического развития Кузбасса предоставляется финансовая поддержка в виде грантов СМСП, включённым в реестр социальных предпринимателей. Основное условие получение гранта – нахождение в реестре социальных предприятий, предоставление грантов молодым предпринимателям, в возрасте до 25 лет включительно.</w:t>
      </w:r>
    </w:p>
    <w:p>
      <w:pPr>
        <w:ind w:firstLine="720"/>
        <w:spacing/>
        <w:contextualSpacing/>
        <w:jc w:val="both"/>
        <w:widowControl/>
        <w:rPr>
          <w:rFonts w:eastAsia="Calibri"/>
          <w:color w:val="000000"/>
          <w:sz w:val="22"/>
          <w:szCs w:val="22"/>
        </w:rPr>
      </w:pPr>
      <w:r>
        <w:rPr>
          <w:rFonts w:eastAsia="Calibri"/>
          <w:color w:val="000000"/>
          <w:sz w:val="24"/>
          <w:szCs w:val="24"/>
        </w:rPr>
        <w:t xml:space="preserve">Финансирование региональных проектов происходит через областные организации («Государственный фонд поддержки предпринимательства», «Мой бизнес», «Центр поддержки экспорта Кузбасса»). На муниципальном уровне обеспечивается исключительно информационная и консультационная поддержка. Для этого сформирована система информирования предпринимательского сектора, в который входят: сайт администрации города (раздел «Малый бизнес»), информационный стенд для предпринимателей, подключены к этой работе и городские средства массовой информации (газеты «Наш город», Анжерское телевидение и радио), в мессенджерах WhatsApp, Telegram созданы группы «Анжерские предприниматели», в соц.сетях </w:t>
      </w:r>
      <w:r>
        <w:rPr>
          <w:rFonts w:eastAsia="Calibri"/>
          <w:color w:val="000000"/>
          <w:sz w:val="22"/>
          <w:szCs w:val="22"/>
        </w:rPr>
        <w:t xml:space="preserve">В контакте </w:t>
      </w:r>
      <w:hyperlink r:id="rId8" w:history="1">
        <w:r>
          <w:rPr>
            <w:rStyle w:val="char17"/>
            <w:rFonts w:eastAsia="Calibri"/>
            <w:color w:val="000000"/>
            <w:sz w:val="22"/>
            <w:szCs w:val="22"/>
          </w:rPr>
          <w:t>https://vk.com/anzherobussines</w:t>
        </w:r>
      </w:hyperlink>
      <w:r>
        <w:rPr>
          <w:rFonts w:eastAsia="Calibri"/>
          <w:color w:val="000000"/>
          <w:sz w:val="22"/>
          <w:szCs w:val="22"/>
        </w:rPr>
        <w:t>.</w:t>
      </w:r>
      <w:r>
        <w:rPr>
          <w:rFonts w:eastAsia="Calibri"/>
          <w:color w:val="000000"/>
          <w:sz w:val="22"/>
          <w:szCs w:val="22"/>
        </w:rPr>
      </w:r>
    </w:p>
    <w:p>
      <w:pPr>
        <w:spacing/>
        <w:contextualSpacing/>
        <w:jc w:val="both"/>
        <w:widowControl/>
        <w:rPr>
          <w:rFonts w:eastAsia="Calibri"/>
          <w:color w:val="000000"/>
          <w:sz w:val="22"/>
          <w:szCs w:val="22"/>
        </w:rPr>
      </w:pPr>
      <w:r>
        <w:rPr>
          <w:rFonts w:eastAsia="Calibri"/>
          <w:color w:val="000000"/>
          <w:sz w:val="22"/>
          <w:szCs w:val="22"/>
        </w:rPr>
      </w:r>
    </w:p>
    <w:p>
      <w:pPr>
        <w:spacing/>
        <w:contextualSpacing/>
        <w:jc w:val="both"/>
        <w:widowControl/>
        <w:rPr>
          <w:rFonts w:eastAsia="Calibri"/>
          <w:color w:val="000000"/>
          <w:sz w:val="22"/>
          <w:szCs w:val="22"/>
        </w:rPr>
      </w:pPr>
      <w:r>
        <w:rPr>
          <w:rFonts w:eastAsia="Calibri"/>
          <w:color w:val="000000"/>
          <w:sz w:val="22"/>
          <w:szCs w:val="22"/>
        </w:rPr>
      </w:r>
    </w:p>
    <w:p>
      <w:pPr>
        <w:ind w:firstLine="708"/>
        <w:spacing/>
        <w:contextualSpacing/>
        <w:jc w:val="center"/>
        <w:widowControl/>
        <w:rPr>
          <w:b/>
          <w:color w:val="000000"/>
          <w:sz w:val="24"/>
          <w:szCs w:val="24"/>
        </w:rPr>
      </w:pPr>
      <w:r>
        <w:rPr>
          <w:b/>
          <w:color w:val="000000"/>
          <w:sz w:val="24"/>
          <w:szCs w:val="24"/>
        </w:rPr>
        <w:t>6. ФИНАНСЫ И НАЛОГОВЫЕ ПОСТУПЛЕНИЯ</w:t>
      </w:r>
    </w:p>
    <w:p>
      <w:pPr>
        <w:ind w:firstLine="708"/>
        <w:spacing/>
        <w:contextualSpacing/>
        <w:jc w:val="center"/>
        <w:widowControl/>
        <w:rPr>
          <w:b/>
          <w:bCs/>
          <w:color w:val="000000"/>
          <w:spacing w:val="-1" w:percent="99"/>
          <w:sz w:val="24"/>
          <w:szCs w:val="24"/>
        </w:rPr>
      </w:pPr>
      <w:r>
        <w:rPr>
          <w:b/>
          <w:bCs/>
          <w:color w:val="000000"/>
          <w:spacing w:val="-1" w:percent="99"/>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b/>
          <w:bCs/>
          <w:color w:val="000000"/>
          <w:spacing w:val="-1" w:percent="99"/>
          <w:sz w:val="24"/>
          <w:szCs w:val="24"/>
        </w:rPr>
        <w:t xml:space="preserve">6.1. </w:t>
      </w:r>
      <w:r>
        <w:rPr>
          <w:b/>
          <w:color w:val="000000"/>
          <w:sz w:val="24"/>
          <w:szCs w:val="24"/>
        </w:rPr>
        <w:t xml:space="preserve">Финансовая деятельность организаций </w:t>
      </w: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По итогам работы 8 месяцев 2025 года экономика муниципального образования имела отрицательный финансовый результат деятельности хозяйствующих субъектов. </w:t>
      </w:r>
    </w:p>
    <w:p>
      <w:pPr>
        <w:ind w:firstLine="720"/>
        <w:spacing/>
        <w:contextualSpacing/>
        <w:jc w:val="both"/>
        <w:widowControl/>
        <w:rPr>
          <w:rFonts w:eastAsia="Calibri"/>
          <w:color w:val="000000"/>
          <w:sz w:val="24"/>
          <w:szCs w:val="24"/>
        </w:rPr>
      </w:pPr>
      <w:r>
        <w:rPr>
          <w:rFonts w:eastAsia="Calibri"/>
          <w:color w:val="000000"/>
          <w:sz w:val="24"/>
          <w:szCs w:val="24"/>
        </w:rPr>
        <w:t>Сальдированный финансовый результат по основным видам экономической деятельности крупных и средних предприятий за 8 месяцев 2025 года – убытки в размере 30,38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rFonts w:eastAsia="Calibri"/>
          <w:color w:val="000000"/>
          <w:sz w:val="24"/>
          <w:szCs w:val="24"/>
        </w:rPr>
        <w:t xml:space="preserve">Доля убыточных предприятий составила 62,5 %, величина их убытков составила 789,50 млн. руб. </w:t>
      </w:r>
    </w:p>
    <w:p>
      <w:pPr>
        <w:ind w:firstLine="720"/>
        <w:spacing/>
        <w:contextualSpacing/>
        <w:jc w:val="both"/>
        <w:widowControl/>
        <w:rPr>
          <w:rFonts w:eastAsia="Calibri"/>
          <w:color w:val="000000"/>
          <w:sz w:val="24"/>
          <w:szCs w:val="24"/>
        </w:rPr>
      </w:pPr>
      <w:r>
        <w:rPr>
          <w:rFonts w:eastAsia="Calibri"/>
          <w:color w:val="000000"/>
          <w:sz w:val="24"/>
          <w:szCs w:val="24"/>
        </w:rPr>
        <w:t>Доля прибыльных предприятий соответственно составила 37,5%. Объем прибыли, полученной предприятиями, составил 429,13 млн. руб.</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в сравнении с началом года (на 01.01.2025 – 45 525,87 млн. руб.) увеличилась на 0,5 % и составила на конец анализируемого периода – 45 749,15 млн. руб. при этом доля просроченной задолженности в общем объёме задолженности составила 0,5%.</w:t>
      </w:r>
    </w:p>
    <w:p>
      <w:pPr>
        <w:ind w:firstLine="720"/>
        <w:spacing/>
        <w:contextualSpacing/>
        <w:jc w:val="both"/>
        <w:widowControl/>
        <w:rPr>
          <w:rFonts w:eastAsia="Calibri"/>
          <w:color w:val="000000"/>
          <w:sz w:val="24"/>
          <w:szCs w:val="24"/>
        </w:rPr>
      </w:pPr>
      <w:r>
        <w:rPr>
          <w:rFonts w:eastAsia="Calibri"/>
          <w:color w:val="000000"/>
          <w:sz w:val="24"/>
          <w:szCs w:val="24"/>
        </w:rPr>
        <w:t>Дебиторская задолженность с начала года (на 01.01.2025 –12 173,78 млн. руб.) увеличилась на 0,3% и составила на 01.09.2025 – 12 215,67 млн. руб. Удельный вес просроченных обязательств составил 5%.</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превысила дебиторскую в 3,7 раза.</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ind w:firstLine="720"/>
        <w:spacing/>
        <w:contextualSpacing/>
        <w:jc w:val="both"/>
        <w:widowControl/>
        <w:rPr>
          <w:rFonts w:eastAsia="Calibri"/>
          <w:color w:val="0000ff"/>
          <w:sz w:val="24"/>
          <w:szCs w:val="24"/>
        </w:rPr>
      </w:pPr>
      <w:r>
        <w:rPr>
          <w:rFonts w:eastAsia="Calibri"/>
          <w:color w:val="0000ff"/>
          <w:sz w:val="24"/>
          <w:szCs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134" w:top="1135" w:right="708"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contextualSpacing/>
        <w:jc w:val="center"/>
        <w:widowControl/>
        <w:rPr>
          <w:b/>
          <w:color w:val="000000"/>
          <w:sz w:val="24"/>
          <w:szCs w:val="24"/>
        </w:rPr>
      </w:pPr>
      <w:r>
        <w:rPr>
          <w:b/>
          <w:color w:val="000000"/>
          <w:sz w:val="24"/>
          <w:szCs w:val="24"/>
        </w:rPr>
        <w:tab/>
        <w:t>6.2 Бюджет города</w:t>
      </w:r>
    </w:p>
    <w:p>
      <w:pPr>
        <w:spacing/>
        <w:contextualSpacing/>
        <w:jc w:val="right"/>
        <w:widowControl/>
        <w:tabs defTabSz="720">
          <w:tab w:val="left" w:pos="8954" w:leader="none"/>
          <w:tab w:val="right" w:pos="10065" w:leader="none"/>
        </w:tabs>
        <w:rPr>
          <w:b/>
          <w:bCs/>
          <w:color w:val="000000"/>
          <w:sz w:val="24"/>
          <w:szCs w:val="24"/>
        </w:rPr>
      </w:pPr>
      <w:r>
        <w:rPr>
          <w:b/>
          <w:color w:val="000000"/>
          <w:sz w:val="24"/>
          <w:szCs w:val="24"/>
        </w:rPr>
        <w:t>тыс. руб.</w:t>
      </w:r>
      <w:r>
        <w:rPr>
          <w:b/>
          <w:bCs/>
          <w:color w:val="000000"/>
          <w:sz w:val="24"/>
          <w:szCs w:val="24"/>
        </w:rPr>
      </w:r>
    </w:p>
    <w:tbl>
      <w:tblPr>
        <w:tblStyle w:val="NormalTable"/>
        <w:name w:val="Таблица3"/>
        <w:tabOrder w:val="0"/>
        <w:jc w:val="left"/>
        <w:tblInd w:w="-10" w:type="dxa"/>
        <w:tblW w:w="15886" w:type="dxa"/>
        <w:pPr>
          <w:ind w:left="-10"/>
        </w:pPr>
        <w:tblLook w:val="0600" w:firstRow="0" w:lastRow="0" w:firstColumn="0" w:lastColumn="0" w:noHBand="1" w:noVBand="1"/>
      </w:tblPr>
      <w:tblGrid>
        <w:gridCol w:w="2995"/>
        <w:gridCol w:w="1257"/>
        <w:gridCol w:w="1261"/>
        <w:gridCol w:w="1405"/>
        <w:gridCol w:w="1404"/>
        <w:gridCol w:w="1486"/>
        <w:gridCol w:w="954"/>
        <w:gridCol w:w="1398"/>
        <w:gridCol w:w="1227"/>
        <w:gridCol w:w="1285"/>
        <w:gridCol w:w="1214"/>
      </w:tblGrid>
      <w:tr>
        <w:trPr>
          <w:tblHeader/>
          <w:cantSplit w:val="0"/>
          <w:trHeight w:val="223" w:hRule="atLeast"/>
        </w:trPr>
        <w:tc>
          <w:tcPr>
            <w:tcW w:w="2995" w:type="dxa"/>
            <w:vMerge w:val="restart"/>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ind w:left="-240"/>
              <w:spacing/>
              <w:contextualSpacing/>
              <w:jc w:val="center"/>
              <w:widowControl/>
              <w:rPr>
                <w:color w:val="000000"/>
              </w:rPr>
            </w:pPr>
            <w:r>
              <w:rPr>
                <w:b/>
                <w:bCs/>
                <w:color w:val="000000"/>
                <w:sz w:val="24"/>
                <w:szCs w:val="24"/>
              </w:rPr>
              <w:t>Наименование статей доходов</w:t>
            </w:r>
            <w:r>
              <w:rPr>
                <w:color w:val="000000"/>
              </w:rPr>
            </w:r>
          </w:p>
        </w:tc>
        <w:tc>
          <w:tcPr>
            <w:tcW w:w="1257" w:type="dxa"/>
            <w:vMerge w:val="restart"/>
            <w:vAlign w:val="center"/>
            <w:shd w:val="none"/>
            <w:tcMar>
              <w:top w:w="0" w:type="dxa"/>
              <w:left w:w="108" w:type="dxa"/>
              <w:bottom w:w="0" w:type="dxa"/>
              <w:right w:w="108" w:type="dxa"/>
            </w:tcMar>
            <w:tcBorders>
              <w:top w:val="single" w:sz="16" w:space="0" w:color="000000" tmln="4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b/>
                <w:bCs/>
                <w:color w:val="000000"/>
                <w:sz w:val="21"/>
                <w:szCs w:val="21"/>
              </w:rPr>
            </w:pPr>
            <w:r>
              <w:rPr>
                <w:b/>
                <w:bCs/>
                <w:color w:val="000000"/>
                <w:sz w:val="21"/>
                <w:szCs w:val="21"/>
              </w:rPr>
              <w:t xml:space="preserve">Факт </w:t>
            </w:r>
          </w:p>
          <w:p>
            <w:pPr>
              <w:spacing/>
              <w:contextualSpacing/>
              <w:jc w:val="center"/>
              <w:widowControl/>
              <w:rPr>
                <w:b/>
                <w:bCs/>
                <w:color w:val="000000"/>
              </w:rPr>
            </w:pPr>
            <w:r>
              <w:rPr>
                <w:b/>
                <w:bCs/>
                <w:color w:val="000000"/>
                <w:sz w:val="21"/>
                <w:szCs w:val="21"/>
              </w:rPr>
              <w:t>2024 г.</w:t>
            </w:r>
            <w:r>
              <w:rPr>
                <w:b/>
                <w:bCs/>
                <w:color w:val="000000"/>
              </w:rPr>
            </w:r>
          </w:p>
          <w:p>
            <w:pPr>
              <w:spacing/>
              <w:contextualSpacing/>
              <w:jc w:val="center"/>
              <w:widowControl/>
              <w:rPr>
                <w:color w:val="000000"/>
              </w:rPr>
            </w:pPr>
            <w:r>
              <w:rPr>
                <w:b/>
                <w:bCs/>
                <w:color w:val="000000"/>
              </w:rPr>
              <w:t xml:space="preserve"> </w:t>
            </w:r>
            <w:r>
              <w:rPr>
                <w:color w:val="000000"/>
              </w:rPr>
            </w:r>
          </w:p>
        </w:tc>
        <w:tc>
          <w:tcPr>
            <w:tcW w:w="4070" w:type="dxa"/>
            <w:gridSpan w:val="3"/>
            <w:vAlign w:val="center"/>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2025 г.</w:t>
            </w:r>
            <w:r>
              <w:rPr>
                <w:color w:val="000000"/>
              </w:rPr>
            </w:r>
          </w:p>
        </w:tc>
        <w:tc>
          <w:tcPr>
            <w:tcW w:w="7564" w:type="dxa"/>
            <w:gridSpan w:val="6"/>
            <w:vAlign w:val="center"/>
            <w:shd w:val="none"/>
            <w:tcMar>
              <w:top w:w="0" w:type="dxa"/>
              <w:left w:w="108" w:type="dxa"/>
              <w:bottom w:w="0" w:type="dxa"/>
              <w:right w:w="108" w:type="dxa"/>
            </w:tcMar>
            <w:tcBorders>
              <w:top w:val="single" w:sz="16" w:space="0" w:color="000000" tmln="4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Исполнение</w:t>
            </w:r>
            <w:r>
              <w:rPr>
                <w:color w:val="000000"/>
              </w:rPr>
            </w:r>
          </w:p>
        </w:tc>
      </w:tr>
      <w:tr>
        <w:trPr>
          <w:tblHeader/>
          <w:cantSplit w:val="0"/>
          <w:trHeight w:val="254"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26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План</w:t>
            </w:r>
            <w:r>
              <w:rPr>
                <w:color w:val="000000"/>
              </w:rPr>
            </w:r>
          </w:p>
        </w:tc>
        <w:tc>
          <w:tcPr>
            <w:tcW w:w="1405"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Уточ. (на 01.10.25)</w:t>
            </w:r>
            <w:r>
              <w:rPr>
                <w:color w:val="000000"/>
              </w:rPr>
            </w:r>
          </w:p>
        </w:tc>
        <w:tc>
          <w:tcPr>
            <w:tcW w:w="140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Факт (на 01.10.2025)</w:t>
            </w:r>
            <w:r>
              <w:rPr>
                <w:color w:val="000000"/>
              </w:rPr>
            </w:r>
          </w:p>
        </w:tc>
        <w:tc>
          <w:tcPr>
            <w:tcW w:w="2440"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к плану</w:t>
            </w:r>
            <w:r>
              <w:rPr>
                <w:color w:val="000000"/>
              </w:rPr>
            </w:r>
          </w:p>
        </w:tc>
        <w:tc>
          <w:tcPr>
            <w:tcW w:w="2625"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К уточ. плану</w:t>
            </w:r>
            <w:r>
              <w:rPr>
                <w:color w:val="000000"/>
              </w:rPr>
            </w:r>
          </w:p>
        </w:tc>
        <w:tc>
          <w:tcPr>
            <w:tcW w:w="249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spacing/>
              <w:contextualSpacing/>
              <w:jc w:val="center"/>
              <w:rPr>
                <w:color w:val="000000"/>
              </w:rPr>
            </w:pPr>
            <w:r>
              <w:rPr>
                <w:b/>
                <w:bCs/>
                <w:color w:val="000000"/>
                <w:sz w:val="24"/>
                <w:szCs w:val="24"/>
              </w:rPr>
              <w:t>к 2024 г.</w:t>
            </w:r>
            <w:r>
              <w:rPr>
                <w:color w:val="000000"/>
              </w:rPr>
            </w:r>
          </w:p>
        </w:tc>
      </w:tr>
      <w:tr>
        <w:trPr>
          <w:tblHeader/>
          <w:cantSplit w:val="0"/>
          <w:trHeight w:val="191"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26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405"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40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tc>
        <w:tc>
          <w:tcPr>
            <w:tcW w:w="1486"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w:t>
            </w:r>
            <w:r>
              <w:rPr>
                <w:color w:val="000000"/>
              </w:rPr>
            </w:r>
          </w:p>
        </w:tc>
        <w:tc>
          <w:tcPr>
            <w:tcW w:w="954"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w:t>
            </w:r>
            <w:r>
              <w:rPr>
                <w:color w:val="000000"/>
              </w:rPr>
            </w:r>
          </w:p>
        </w:tc>
        <w:tc>
          <w:tcPr>
            <w:tcW w:w="1398"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w:t>
            </w:r>
            <w:r>
              <w:rPr>
                <w:color w:val="000000"/>
              </w:rPr>
            </w:r>
          </w:p>
        </w:tc>
        <w:tc>
          <w:tcPr>
            <w:tcW w:w="1227"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w:t>
            </w:r>
            <w:r>
              <w:rPr>
                <w:color w:val="000000"/>
              </w:rPr>
            </w:r>
          </w:p>
        </w:tc>
        <w:tc>
          <w:tcPr>
            <w:tcW w:w="1285"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0"/>
          </w:tcPr>
          <w:p>
            <w:pPr>
              <w:spacing/>
              <w:contextualSpacing/>
              <w:jc w:val="center"/>
              <w:rPr>
                <w:color w:val="000000"/>
              </w:rPr>
            </w:pPr>
            <w:r>
              <w:rPr>
                <w:b/>
                <w:bCs/>
                <w:color w:val="000000"/>
                <w:sz w:val="24"/>
                <w:szCs w:val="24"/>
              </w:rPr>
              <w:t>+,-</w:t>
            </w:r>
            <w:r>
              <w:rPr>
                <w:color w:val="000000"/>
              </w:rPr>
            </w:r>
          </w:p>
        </w:tc>
        <w:tc>
          <w:tcPr>
            <w:tcW w:w="1214"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sz w:val="24"/>
                <w:szCs w:val="24"/>
              </w:rPr>
              <w:t>%</w:t>
            </w:r>
            <w:r>
              <w:rPr>
                <w:color w:val="000000"/>
              </w:rPr>
            </w:r>
          </w:p>
        </w:tc>
      </w:tr>
      <w:tr>
        <w:trPr>
          <w:tblHeader w:val="0"/>
          <w:cantSplit w:val="0"/>
          <w:trHeight w:val="290" w:hRule="atLeast"/>
        </w:trPr>
        <w:tc>
          <w:tcPr>
            <w:tcW w:w="2995" w:type="dxa"/>
            <w:vAlign w:val="center"/>
            <w:shd w:val="solid" w:color="FFFFFF" tmshd="6553856, 16777215, 16777215"/>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Доходы бюджета - ИТОГО</w:t>
            </w:r>
            <w:r>
              <w:rPr>
                <w:color w:val="000000"/>
              </w:rPr>
            </w:r>
          </w:p>
        </w:tc>
        <w:tc>
          <w:tcPr>
            <w:tcW w:w="125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3315173.10</w:t>
            </w:r>
          </w:p>
        </w:tc>
        <w:tc>
          <w:tcPr>
            <w:tcW w:w="1261"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3873638.3</w:t>
            </w:r>
          </w:p>
        </w:tc>
        <w:tc>
          <w:tcPr>
            <w:tcW w:w="1405"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3950007.2</w:t>
            </w:r>
          </w:p>
        </w:tc>
        <w:tc>
          <w:tcPr>
            <w:tcW w:w="140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3046247.8</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-827390.49</w:t>
            </w:r>
          </w:p>
        </w:tc>
        <w:tc>
          <w:tcPr>
            <w:tcW w:w="95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78.6</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-903759.36</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77.1</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-268925.23</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91.9</w:t>
            </w:r>
          </w:p>
        </w:tc>
      </w:tr>
      <w:tr>
        <w:trPr>
          <w:tblHeader w:val="0"/>
          <w:cantSplit w:val="0"/>
          <w:trHeight w:val="230" w:hRule="atLeast"/>
        </w:trPr>
        <w:tc>
          <w:tcPr>
            <w:tcW w:w="2995" w:type="dxa"/>
            <w:vAlign w:val="center"/>
            <w:shd w:val="solid" w:color="EEECE1" tmshd="6553856, 14806254,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Доходы бюджета</w:t>
            </w:r>
            <w:r>
              <w:rPr>
                <w:color w:val="000000"/>
              </w:rPr>
            </w:r>
          </w:p>
        </w:tc>
        <w:tc>
          <w:tcPr>
            <w:tcW w:w="125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735405.7</w:t>
            </w:r>
          </w:p>
        </w:tc>
        <w:tc>
          <w:tcPr>
            <w:tcW w:w="1261"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1113141</w:t>
            </w:r>
          </w:p>
        </w:tc>
        <w:tc>
          <w:tcPr>
            <w:tcW w:w="1405"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1124331.5</w:t>
            </w:r>
          </w:p>
        </w:tc>
        <w:tc>
          <w:tcPr>
            <w:tcW w:w="140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800269.4</w:t>
            </w:r>
          </w:p>
        </w:tc>
        <w:tc>
          <w:tcPr>
            <w:tcW w:w="1486"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-312871.64</w:t>
            </w:r>
          </w:p>
        </w:tc>
        <w:tc>
          <w:tcPr>
            <w:tcW w:w="95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71.9</w:t>
            </w:r>
          </w:p>
        </w:tc>
        <w:tc>
          <w:tcPr>
            <w:tcW w:w="1398"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-324062.14</w:t>
            </w:r>
          </w:p>
        </w:tc>
        <w:tc>
          <w:tcPr>
            <w:tcW w:w="122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71.2</w:t>
            </w:r>
          </w:p>
        </w:tc>
        <w:tc>
          <w:tcPr>
            <w:tcW w:w="1285"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64863.70</w:t>
            </w:r>
          </w:p>
        </w:tc>
        <w:tc>
          <w:tcPr>
            <w:tcW w:w="1214"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108.8</w:t>
            </w:r>
          </w:p>
        </w:tc>
      </w:tr>
      <w:tr>
        <w:trPr>
          <w:tblHeader w:val="0"/>
          <w:cantSplit w:val="0"/>
          <w:trHeight w:val="137"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607122.0</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1001756.0</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998421.0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699867.4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-301888.58</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69.9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-298553.58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70.1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92745.41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115.3</w:t>
            </w:r>
          </w:p>
        </w:tc>
      </w:tr>
      <w:tr>
        <w:trPr>
          <w:tblHeader w:val="0"/>
          <w:cantSplit w:val="0"/>
          <w:trHeight w:val="24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Налоги на прибыль,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455076.5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774409.0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752378.0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519890.5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-254518.46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67.1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-232487.46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69.1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64814.04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114.2</w:t>
            </w:r>
          </w:p>
        </w:tc>
      </w:tr>
      <w:tr>
        <w:trPr>
          <w:tblHeader w:val="0"/>
          <w:cantSplit w:val="0"/>
          <w:trHeight w:val="3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Налог на доходы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455076.5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774409.0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752378.0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519890.5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-254518.46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67.1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-232487.46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69.1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64814.04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114.2</w:t>
            </w:r>
          </w:p>
        </w:tc>
      </w:tr>
      <w:tr>
        <w:trPr>
          <w:tblHeader w:val="0"/>
          <w:cantSplit w:val="0"/>
          <w:trHeight w:val="40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Налоги на товары, реализуемые на террит-и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19732.3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31943.0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31942.0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23600.7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-8342.35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-8341.35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3868.35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119.6</w:t>
            </w:r>
          </w:p>
        </w:tc>
      </w:tr>
      <w:tr>
        <w:trPr>
          <w:tblHeader w:val="0"/>
          <w:cantSplit w:val="0"/>
          <w:trHeight w:val="37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Акцизы по подакцизным товарам, производимым в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19732.3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31943.0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31942.0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23600.7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-8342.35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-8341.35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3868.35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119.6</w:t>
            </w:r>
          </w:p>
        </w:tc>
      </w:tr>
      <w:tr>
        <w:trPr>
          <w:tblHeader w:val="0"/>
          <w:cantSplit w:val="0"/>
          <w:trHeight w:val="19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Налоги на совокупный доход</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82942.5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115753.0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101114.0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79787.3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-35965.70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68.9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-21326.70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-3155.21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96.2</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Налог, взимаемый в связи с применением упрощенной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68034.2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98013.0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78845.0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64039.6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-33973.40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-14805.40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-3994.60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94.1</w:t>
            </w:r>
          </w:p>
        </w:tc>
      </w:tr>
      <w:tr>
        <w:trPr>
          <w:tblHeader w:val="0"/>
          <w:cantSplit w:val="0"/>
          <w:trHeight w:val="37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Ед. налог на вменен. доход для отд. видов деятельности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122.7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29.0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29.2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29.2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0.20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-93.50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23.8</w:t>
            </w:r>
          </w:p>
          <w:p>
            <w:pPr>
              <w:rPr>
                <w:color w:val="000000"/>
              </w:rPr>
            </w:pPr>
            <w:r>
              <w:rPr>
                <w:color w:val="000000"/>
              </w:rPr>
            </w:r>
          </w:p>
        </w:tc>
      </w:tr>
      <w:tr>
        <w:trPr>
          <w:tblHeader w:val="0"/>
          <w:cantSplit w:val="0"/>
          <w:trHeight w:val="17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 xml:space="preserve">Единый сельхозналог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717.1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1287.0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1879.0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1879.4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592.37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146.0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0.37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1162.26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262.1</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Налог, взимаемый в связи с применением патентной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14068.50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16453.0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20361.0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13839.10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-2613.87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84.1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-6521.87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68.0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-229.37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98.4</w:t>
            </w:r>
          </w:p>
        </w:tc>
      </w:tr>
      <w:tr>
        <w:trPr>
          <w:tblHeader w:val="0"/>
          <w:cantSplit w:val="0"/>
          <w:trHeight w:val="15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Налоги на имущество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39869.8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66038.0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79487.0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49573.3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-16464.73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-29913.73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62.4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9703.47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124.3</w:t>
            </w:r>
          </w:p>
        </w:tc>
      </w:tr>
      <w:tr>
        <w:trPr>
          <w:tblHeader w:val="0"/>
          <w:cantSplit w:val="0"/>
          <w:trHeight w:val="2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Налог на имущество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7181.3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19885.0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21350.0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8267.4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-11617.63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41.6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-13082.63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38.7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1086.07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115.1</w:t>
            </w:r>
          </w:p>
        </w:tc>
      </w:tr>
      <w:tr>
        <w:trPr>
          <w:tblHeader w:val="0"/>
          <w:cantSplit w:val="0"/>
          <w:trHeight w:val="251" w:hRule="atLeast"/>
        </w:trPr>
        <w:tc>
          <w:tcPr>
            <w:tcW w:w="2995" w:type="dxa"/>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Транспортный налог</w:t>
            </w:r>
            <w:r>
              <w:rPr>
                <w:color w:val="000000"/>
              </w:rPr>
            </w:r>
          </w:p>
        </w:tc>
        <w:tc>
          <w:tcPr>
            <w:tcW w:w="1257"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1045.9</w:t>
            </w:r>
          </w:p>
        </w:tc>
        <w:tc>
          <w:tcPr>
            <w:tcW w:w="1261"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2487.0</w:t>
            </w:r>
          </w:p>
        </w:tc>
        <w:tc>
          <w:tcPr>
            <w:tcW w:w="1405"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2596.0</w:t>
            </w:r>
          </w:p>
        </w:tc>
        <w:tc>
          <w:tcPr>
            <w:tcW w:w="140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903.2</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-1583.78</w:t>
            </w:r>
          </w:p>
        </w:tc>
        <w:tc>
          <w:tcPr>
            <w:tcW w:w="95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36.3</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-1692.78</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34.8</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-142.68</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86.4</w:t>
            </w:r>
          </w:p>
        </w:tc>
      </w:tr>
      <w:tr>
        <w:trPr>
          <w:tblHeader w:val="0"/>
          <w:cantSplit w:val="0"/>
          <w:trHeight w:val="11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Земельный налог</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31642.6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43666.0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55541.0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40402.7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-3263.32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92.5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-15138.32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72.7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8760.08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127.7</w:t>
            </w:r>
          </w:p>
        </w:tc>
      </w:tr>
      <w:tr>
        <w:trPr>
          <w:tblHeader w:val="0"/>
          <w:cantSplit w:val="0"/>
          <w:trHeight w:val="15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Государственная пошлина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9500.9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13613.0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33500.0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27015.7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13402.66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198.5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-6484.34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80.6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17514.76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284.3</w:t>
            </w:r>
          </w:p>
        </w:tc>
      </w:tr>
      <w:tr>
        <w:trPr>
          <w:tblHeader w:val="0"/>
          <w:cantSplit w:val="0"/>
          <w:trHeight w:val="1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Cs/>
                <w:color w:val="000000"/>
                <w:sz w:val="24"/>
                <w:szCs w:val="24"/>
              </w:rPr>
              <w:t>Госпошлина по делам,рассматриваемым в судах общей юрисдикции,мировыми судьями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9475.9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13608.0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33495.0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27015.7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13407.66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198.5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-6479.34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80.7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17539.76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285.1</w:t>
            </w:r>
          </w:p>
        </w:tc>
      </w:tr>
      <w:tr>
        <w:trPr>
          <w:tblHeader w:val="0"/>
          <w:cantSplit w:val="0"/>
          <w:trHeight w:val="15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widowControl/>
              <w:rPr>
                <w:color w:val="000000"/>
              </w:rPr>
            </w:pPr>
            <w:r>
              <w:rPr>
                <w:color w:val="000000"/>
                <w:sz w:val="24"/>
                <w:szCs w:val="24"/>
              </w:rPr>
              <w:t>Госпошлина за выдачу разрешения на установку рекламной конструкции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34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 xml:space="preserve">Задолженность по отмененным налогам, сборам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1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169"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Неналоговые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128283.6</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111385.0</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125910.5</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100401.9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-10983.06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90.1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-25508.56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-27881.71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78.3</w:t>
            </w:r>
          </w:p>
        </w:tc>
      </w:tr>
      <w:tr>
        <w:trPr>
          <w:tblHeader w:val="0"/>
          <w:cantSplit w:val="0"/>
          <w:trHeight w:val="61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Доходы от исполь-ния имущ-ва, находящ-ся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68883.9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96296.0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95344.0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73477.1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-22818.92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76.3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-21866.92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4593.21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106.7</w:t>
            </w:r>
          </w:p>
        </w:tc>
      </w:tr>
      <w:tr>
        <w:trPr>
          <w:tblHeader w:val="0"/>
          <w:cantSplit w:val="0"/>
          <w:trHeight w:val="60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Доходы от сдачи в аренду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64512.0</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90490.0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88249.0</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67451.8</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-23038.24</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74.5</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-20797.24</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76.4</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2939.76</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104.6</w:t>
            </w:r>
          </w:p>
        </w:tc>
      </w:tr>
      <w:tr>
        <w:trPr>
          <w:tblHeader w:val="0"/>
          <w:cantSplit w:val="0"/>
          <w:trHeight w:val="115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widowControl/>
              <w:rPr>
                <w:color w:val="000000"/>
              </w:rPr>
            </w:pPr>
            <w:r>
              <w:rPr>
                <w:color w:val="000000"/>
                <w:sz w:val="24"/>
                <w:szCs w:val="24"/>
              </w:rPr>
              <w:t>Доходы, получаемые в виде арендн.платы за зем. уч-ки, гос. собственность на которые не разграни-чена, а также ср-ва от продажи права на заклю-чение договоров аренды указанных зем.уч-ов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49993.90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66672.0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66449.0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49896.4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-16775.56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74.8</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-16552.56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-97.46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99.8</w:t>
            </w:r>
          </w:p>
        </w:tc>
      </w:tr>
      <w:tr>
        <w:trPr>
          <w:tblHeader w:val="0"/>
          <w:cantSplit w:val="0"/>
          <w:trHeight w:val="1140"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widowControl/>
              <w:rPr>
                <w:color w:val="000000"/>
              </w:rPr>
            </w:pPr>
            <w:r>
              <w:rPr>
                <w:color w:val="000000"/>
                <w:sz w:val="24"/>
                <w:szCs w:val="24"/>
              </w:rPr>
              <w:t>Доходы, получ. в виде арендн. платы за земли после разграничения гос. Собст-ности на  землю, а также ср-ва от продажи права на заключение дог-ров аренды указанных зем.уч-ков (за исключ. зем.уч-ков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2503.0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485.0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-2503.00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-485.00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675"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widowControl/>
              <w:rPr>
                <w:color w:val="000000"/>
              </w:rPr>
            </w:pPr>
            <w:r>
              <w:rPr>
                <w:color w:val="000000"/>
                <w:sz w:val="24"/>
                <w:szCs w:val="24"/>
              </w:rPr>
              <w:t>Доходы, получ. в виде арендной либо иной платы за передачу в возмездное пользование гос. и муниц. имущ-ва (за исключением имущ-ва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327.5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456.0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456.0</w:t>
            </w:r>
          </w:p>
        </w:tc>
        <w:tc>
          <w:tcPr>
            <w:tcW w:w="140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326.1</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-129.93</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71.5</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-129.93</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71.5</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-1.43</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99.6</w:t>
            </w:r>
          </w:p>
        </w:tc>
      </w:tr>
      <w:tr>
        <w:trPr>
          <w:tblHeader w:val="0"/>
          <w:cantSplit w:val="0"/>
          <w:trHeight w:val="664"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widowControl/>
              <w:rPr>
                <w:color w:val="000000"/>
              </w:rPr>
            </w:pPr>
            <w:r>
              <w:rPr>
                <w:color w:val="000000"/>
                <w:sz w:val="24"/>
                <w:szCs w:val="24"/>
              </w:rPr>
              <w:t>Доходы от сдачи в аренду имущ-ва, составляющ. Гос. (муницип-ную) казну (за исключением земельных участков)</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14190.6</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20859.0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20859.0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17229.3</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-3629.75</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82.6</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-3629.75</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82.6</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3038.65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121.4</w:t>
            </w:r>
          </w:p>
        </w:tc>
      </w:tr>
      <w:tr>
        <w:trPr>
          <w:tblHeader w:val="0"/>
          <w:cantSplit w:val="0"/>
          <w:trHeight w:val="518"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Платежи от гос. и мун. унитарных предприятий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17</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-16.97</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212"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Прочие доходы от исп. имущества и прав,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4354.9</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5806.0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7095.0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6025.3</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219.32</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103.8</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-1069.68</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84.9</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1670.42</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138.4</w:t>
            </w:r>
          </w:p>
        </w:tc>
      </w:tr>
      <w:tr>
        <w:trPr>
          <w:tblHeader w:val="0"/>
          <w:cantSplit w:val="0"/>
          <w:trHeight w:val="409"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Платежи при пользовании природными ресурсами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1842.4</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1867.0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2549.0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2676.8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809.8</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143.4</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127.75</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105.0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834.35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145.3</w:t>
            </w:r>
          </w:p>
        </w:tc>
      </w:tr>
      <w:tr>
        <w:trPr>
          <w:tblHeader w:val="0"/>
          <w:cantSplit w:val="0"/>
          <w:trHeight w:val="40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Плата за негативное воздействие на окружающую среду</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1842.4</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1867.0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2549.0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2676.8</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809.75</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143.4</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127.75</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105.0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70091700" protected="0"/>
          </w:tcPr>
          <w:p>
            <w:pPr>
              <w:rPr>
                <w:color w:val="000000"/>
              </w:rPr>
            </w:pPr>
            <w:r>
              <w:rPr>
                <w:color w:val="000000"/>
              </w:rPr>
              <w:t>834.35</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145.3</w:t>
            </w:r>
          </w:p>
        </w:tc>
      </w:tr>
      <w:tr>
        <w:trPr>
          <w:tblHeader w:val="0"/>
          <w:cantSplit w:val="0"/>
          <w:trHeight w:val="63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Доходы от оказания платных услуг и компенсация затрат государства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48426.3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7266.0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7846.0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5926.0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-1339.97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-1919.67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-42500.27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12.2</w:t>
            </w:r>
          </w:p>
        </w:tc>
      </w:tr>
      <w:tr>
        <w:trPr>
          <w:tblHeader w:val="0"/>
          <w:cantSplit w:val="0"/>
          <w:trHeight w:val="69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Доходы от продажи материальных и нематериальных активов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7448.9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3979.0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6000.0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5353.0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1373.95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134.5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-647.05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89.2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-2095.95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71.9</w:t>
            </w:r>
          </w:p>
        </w:tc>
      </w:tr>
      <w:tr>
        <w:trPr>
          <w:tblHeader w:val="0"/>
          <w:cantSplit w:val="0"/>
          <w:trHeight w:val="23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Доходы от продажи квартир</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94.5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559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418.97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399.3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-81.03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87.3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464.47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591.5</w:t>
            </w:r>
          </w:p>
        </w:tc>
      </w:tr>
      <w:tr>
        <w:trPr>
          <w:tblHeader w:val="0"/>
          <w:cantSplit w:val="0"/>
          <w:trHeight w:val="64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Доходы от реализации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3536.0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124</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1135.0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1135.0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1011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915.3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-2401.0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32.1</w:t>
            </w:r>
          </w:p>
        </w:tc>
      </w:tr>
      <w:tr>
        <w:trPr>
          <w:tblHeader w:val="0"/>
          <w:cantSplit w:val="0"/>
          <w:trHeight w:val="60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Доходы от продажи зем. уч-в ,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3818.4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3715.0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4225.0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3659.0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-56.02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98.5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-566.02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86.6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-159.42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95.8</w:t>
            </w:r>
          </w:p>
        </w:tc>
      </w:tr>
      <w:tr>
        <w:trPr>
          <w:tblHeader w:val="0"/>
          <w:cantSplit w:val="0"/>
          <w:trHeight w:val="5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Штрафы, санкции, возмещение ущерба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1327.7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1977.0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13527.6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12877.3</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10900.30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651.4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-650.30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95.2</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11549.60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969.9</w:t>
            </w:r>
          </w:p>
        </w:tc>
      </w:tr>
      <w:tr>
        <w:trPr>
          <w:tblHeader w:val="0"/>
          <w:cantSplit w:val="0"/>
          <w:trHeight w:val="27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Прочие неналоговые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354.5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643.9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91.8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91.83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-552.07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-262.65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25.9</w:t>
            </w:r>
          </w:p>
        </w:tc>
      </w:tr>
      <w:tr>
        <w:trPr>
          <w:tblHeader w:val="0"/>
          <w:cantSplit w:val="0"/>
          <w:trHeight w:val="22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Невыясненные поступления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0.73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0.73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1.63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-81.1</w:t>
            </w:r>
          </w:p>
        </w:tc>
      </w:tr>
      <w:tr>
        <w:trPr>
          <w:tblHeader w:val="0"/>
          <w:cantSplit w:val="0"/>
          <w:trHeight w:val="33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sz w:val="24"/>
                <w:szCs w:val="24"/>
              </w:rPr>
            </w:pPr>
            <w:r>
              <w:rPr>
                <w:color w:val="000000"/>
                <w:sz w:val="24"/>
                <w:szCs w:val="24"/>
              </w:rPr>
              <w:t>Прочие неналоговые доходы бюджетов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-355.22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108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 xml:space="preserve">Инициативные платежи (на реализацию проектов инициативного бюджетирования «Твой Кузбасс - твоя инициатива»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355.2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643.9</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91.1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91.1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-552.80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-264.12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25.6</w:t>
            </w:r>
          </w:p>
        </w:tc>
      </w:tr>
      <w:tr>
        <w:trPr>
          <w:tblHeader w:val="0"/>
          <w:cantSplit w:val="0"/>
          <w:trHeight w:val="390"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ВСЕГО Безвозмездные поступления</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2579767.4</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2760497.3</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2825675.7</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2245978.5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-514518.85</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-579697.22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-333788.93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87.1</w:t>
            </w:r>
          </w:p>
        </w:tc>
      </w:tr>
      <w:tr>
        <w:trPr>
          <w:tblHeader w:val="0"/>
          <w:cantSplit w:val="0"/>
          <w:trHeight w:val="93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Безвозмездн. поступления от бюджетов бюджетной системы РФ, кроме бюджетов гос. внебюдж. фондов др. уровней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2821847.6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2760497.3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2819931.7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2253644.8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-506852.52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-566286.89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-568202.81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79.9</w:t>
            </w:r>
          </w:p>
        </w:tc>
      </w:tr>
      <w:tr>
        <w:trPr>
          <w:tblHeader w:val="0"/>
          <w:cantSplit w:val="0"/>
          <w:trHeight w:val="41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Дотации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814263.5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412610.0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423514.8</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320362.5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-92247.50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-103152.30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-493901.0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39.3</w:t>
            </w:r>
          </w:p>
        </w:tc>
      </w:tr>
      <w:tr>
        <w:trPr>
          <w:tblHeader w:val="0"/>
          <w:cantSplit w:val="0"/>
          <w:trHeight w:val="39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Субсидии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429488.5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395258.6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449654.0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354395.1</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-40863.50</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89.7</w:t>
            </w:r>
          </w:p>
        </w:tc>
        <w:tc>
          <w:tcPr>
            <w:tcW w:w="1398"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-95258.86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-75093.41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82.5</w:t>
            </w:r>
          </w:p>
        </w:tc>
      </w:tr>
      <w:tr>
        <w:trPr>
          <w:tblHeader w:val="0"/>
          <w:cantSplit w:val="0"/>
          <w:trHeight w:val="34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Субвенции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1526122.9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1867220.1</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1860654.3</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1512748.7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-354471.36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-347905.57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-13374.17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99.1</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Иные межбюджетные трансферты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51972.7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85408.6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86108.6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66138.5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-19270.16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77.4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-19970.16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76.8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14165.77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127.3</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b/>
                <w:bCs/>
                <w:color w:val="000000"/>
                <w:sz w:val="24"/>
                <w:szCs w:val="24"/>
              </w:rPr>
            </w:pPr>
            <w:r>
              <w:rPr>
                <w:b/>
                <w:bCs/>
                <w:color w:val="000000"/>
                <w:sz w:val="24"/>
                <w:szCs w:val="24"/>
              </w:rPr>
              <w:t>Безвозмездные поступления от гос. организаций в бюджеты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r>
          </w:p>
        </w:tc>
      </w:tr>
      <w:tr>
        <w:trPr>
          <w:tblHeader w:val="0"/>
          <w:cantSplit w:val="0"/>
          <w:trHeight w:val="53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Безвозмездные поступления от негос. организаций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2038.1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-2038.09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Прочие безвозмездные поступления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8818.9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5744.0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5744.0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5744.0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-3074.90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65.1</w:t>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r>
          </w:p>
        </w:tc>
      </w:tr>
      <w:tr>
        <w:trPr>
          <w:tblHeader w:val="0"/>
          <w:cantSplit w:val="0"/>
          <w:trHeight w:val="51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widowControl/>
              <w:rPr>
                <w:color w:val="000000"/>
              </w:rPr>
            </w:pPr>
            <w:r>
              <w:rPr>
                <w:b/>
                <w:bCs/>
                <w:color w:val="000000"/>
                <w:sz w:val="24"/>
                <w:szCs w:val="24"/>
              </w:rPr>
              <w:t>Доходы от возврата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5635.9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799.7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799.66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799.66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-4836.24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14.2</w:t>
            </w:r>
          </w:p>
        </w:tc>
      </w:tr>
      <w:tr>
        <w:trPr>
          <w:tblHeader w:val="0"/>
          <w:cantSplit w:val="0"/>
          <w:trHeight w:val="645"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b/>
                <w:bCs/>
                <w:color w:val="000000"/>
                <w:sz w:val="24"/>
                <w:szCs w:val="24"/>
              </w:rPr>
              <w:t>Возврат остатков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-258573.1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-14237.7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-14237.69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-14237.69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244335.41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5.5</w:t>
            </w:r>
          </w:p>
        </w:tc>
      </w:tr>
      <w:tr>
        <w:trPr>
          <w:tblHeader w:val="0"/>
          <w:cantSplit w:val="0"/>
          <w:trHeight w:val="19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color w:val="000000"/>
                <w:sz w:val="24"/>
                <w:szCs w:val="24"/>
              </w:rPr>
              <w:t>Справочно: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r>
          </w:p>
        </w:tc>
      </w:tr>
      <w:tr>
        <w:trPr>
          <w:tblHeader w:val="0"/>
          <w:cantSplit w:val="0"/>
          <w:trHeight w:val="9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Всего расходы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3278465.8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3932276.5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4117979.6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3120184.0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-812092.50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-997795.6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75.8</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-158281.80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95.2</w:t>
            </w:r>
          </w:p>
        </w:tc>
      </w:tr>
      <w:tr>
        <w:trPr>
          <w:tblHeader w:val="0"/>
          <w:cantSplit w:val="0"/>
          <w:trHeight w:val="37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Результат исполнения бюджета (дефицит "-", профицит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36707.3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58638.2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167972.4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-73936.2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-15297.99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126.1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94036.24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-110643.43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-201.4</w:t>
            </w:r>
          </w:p>
        </w:tc>
      </w:tr>
      <w:tr>
        <w:trPr>
          <w:tblHeader w:val="0"/>
          <w:cantSplit w:val="0"/>
          <w:trHeight w:val="7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contextualSpacing/>
              <w:widowControl/>
              <w:rPr>
                <w:color w:val="000000"/>
              </w:rPr>
            </w:pPr>
            <w:r>
              <w:rPr>
                <w:b/>
                <w:bCs/>
                <w:color w:val="000000"/>
                <w:sz w:val="24"/>
                <w:szCs w:val="24"/>
              </w:rPr>
              <w:t>Собственные средства</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746262.7</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1113141.0</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1130075.5</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806013.4</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-307127.6</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72.4</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-324062.14</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71.3</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nil" w:sz="0" w:space="0" w:color="000000" tmln="20, 20, 20, 0, 0"/>
              <w:tl2br w:val="nil" w:sz="0" w:space="0" w:color="000000" tmln="20, 20, 20, 0, 0"/>
              <w:tr2bl w:val="nil" w:sz="0" w:space="0" w:color="000000" tmln="20, 20, 20, 0, 0"/>
            </w:tcBorders>
            <w:tmTcPr id="1770091700" protected="0"/>
          </w:tcPr>
          <w:p>
            <w:pPr>
              <w:rPr>
                <w:color w:val="000000"/>
              </w:rPr>
            </w:pPr>
            <w:r>
              <w:rPr>
                <w:color w:val="000000"/>
              </w:rPr>
              <w:t>59750.7</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single" w:sz="16" w:space="0" w:color="000000" tmln="40, 20, 20, 0, 0"/>
              <w:tl2br w:val="nil" w:sz="0" w:space="0" w:color="000000" tmln="20, 20, 20, 0, 0"/>
              <w:tr2bl w:val="nil" w:sz="0" w:space="0" w:color="000000" tmln="20, 20, 20, 0, 0"/>
            </w:tcBorders>
            <w:tmTcPr id="1770091700" protected="0"/>
          </w:tcPr>
          <w:p>
            <w:pPr>
              <w:rPr>
                <w:color w:val="000000"/>
              </w:rPr>
            </w:pPr>
            <w:r>
              <w:rPr>
                <w:color w:val="000000"/>
              </w:rPr>
              <w:t>108</w:t>
            </w:r>
          </w:p>
        </w:tc>
      </w:tr>
    </w:tbl>
    <w:p>
      <w:pPr>
        <w:ind w:firstLine="720"/>
        <w:spacing/>
        <w:contextualSpacing/>
        <w:jc w:val="both"/>
        <w:widowControl/>
        <w:rPr>
          <w:color w:val="000000"/>
          <w:sz w:val="24"/>
          <w:szCs w:val="24"/>
        </w:rPr>
      </w:pPr>
      <w:r>
        <w:rPr>
          <w:color w:val="000000"/>
          <w:sz w:val="24"/>
          <w:szCs w:val="24"/>
        </w:rP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11"/>
          <w:footerReference w:type="default" r:id="rId12"/>
          <w:type w:val="nextPage"/>
          <w:pgSz w:h="11906" w:w="16838" w:orient="landscape"/>
          <w:pgMar w:left="567" w:top="1134" w:right="395"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firstLine="720"/>
        <w:spacing/>
        <w:jc w:val="both"/>
        <w:rPr>
          <w:color w:val="000000"/>
          <w:sz w:val="24"/>
          <w:szCs w:val="24"/>
        </w:rPr>
      </w:pPr>
      <w:r>
        <w:rPr>
          <w:color w:val="000000"/>
          <w:sz w:val="24"/>
          <w:szCs w:val="24"/>
        </w:rPr>
        <w:t>Бюджет муниципального образования «Анжеро-Судженский городской округ Кемеровской области - Кузбасса» (далее - местный бюджет) за 9 месяцев  2025     года    выполнен     по доходам   на    77,1 %      к годовому плану и составил 3 046 247,8 тыс. рублей, при годовом плане – 3 950 007,2 тыс. рублей. По сравнению с уровнем прошлого года доходы выполнены на 91,9 %.</w:t>
      </w:r>
    </w:p>
    <w:p>
      <w:pPr>
        <w:ind w:firstLine="720"/>
        <w:spacing/>
        <w:jc w:val="both"/>
        <w:rPr>
          <w:color w:val="000000"/>
          <w:sz w:val="24"/>
          <w:szCs w:val="24"/>
        </w:rPr>
      </w:pPr>
      <w:r>
        <w:rPr>
          <w:color w:val="000000"/>
          <w:sz w:val="24"/>
          <w:szCs w:val="24"/>
        </w:rPr>
        <w:t>Собственная база местного бюджета (с учетом прочих безвозмездных поступлений и безвозмездных поступлений от негосударственных организаций) выполнена к годовому плану на 71,3 % и составила 806 013,4 тыс. рублей, при плане – 1 130 075,5 тыс. рублей.</w:t>
      </w:r>
    </w:p>
    <w:p>
      <w:pPr>
        <w:ind w:firstLine="720"/>
        <w:spacing/>
        <w:jc w:val="both"/>
        <w:rPr>
          <w:color w:val="000000"/>
          <w:sz w:val="24"/>
          <w:szCs w:val="24"/>
        </w:rPr>
      </w:pPr>
      <w:r>
        <w:rPr>
          <w:color w:val="000000"/>
          <w:sz w:val="24"/>
          <w:szCs w:val="24"/>
        </w:rPr>
        <w:t>Налоговые и неналоговые доходы местного бюджета выполнены на 71,2 %, по сравнению с уровнем прошлого года налоговые и неналоговые доходы местного бюджета - на 108,8 % и составили 800 269,4 тыс. рублей.</w:t>
      </w:r>
    </w:p>
    <w:p>
      <w:pPr>
        <w:ind w:firstLine="720"/>
        <w:spacing/>
        <w:jc w:val="both"/>
        <w:rPr>
          <w:color w:val="000000"/>
          <w:sz w:val="24"/>
          <w:szCs w:val="24"/>
        </w:rPr>
      </w:pPr>
      <w:r>
        <w:rPr>
          <w:color w:val="000000"/>
          <w:sz w:val="24"/>
          <w:szCs w:val="24"/>
        </w:rPr>
        <w:t xml:space="preserve">Налоговые   доходы выполнены к годовому плану на 70,1 % и составили 699 867,4 тыс. рублей, при плане – 998 421,0 тыс. рублей. Доля налоговых доходов в собственных доходах городского округа – 86,8 %. По сравнению с уровнем прошлого года выполнение составило 115,3 %. </w:t>
      </w:r>
    </w:p>
    <w:p>
      <w:pPr>
        <w:ind w:firstLine="720"/>
        <w:spacing/>
        <w:jc w:val="both"/>
        <w:rPr>
          <w:color w:val="000000"/>
          <w:sz w:val="24"/>
          <w:szCs w:val="24"/>
        </w:rPr>
      </w:pPr>
      <w:r>
        <w:rPr>
          <w:color w:val="000000"/>
          <w:sz w:val="24"/>
          <w:szCs w:val="24"/>
        </w:rPr>
        <w:t>Неналоговые доходы выполнены к годовому плану на 79,6 % и составили 100 401,9 тыс. рублей, при плане – 125 910,5 тыс. рублей, по сравнению с уровнем 2024 года поступления составили 78,3 %. Доля неналоговых доходов в собственных доходах – 12,5 %.</w:t>
      </w:r>
    </w:p>
    <w:p>
      <w:pPr>
        <w:ind w:firstLine="720"/>
        <w:spacing/>
        <w:jc w:val="both"/>
        <w:rPr>
          <w:rFonts w:eastAsia="Calibri"/>
          <w:color w:val="000000"/>
          <w:sz w:val="24"/>
          <w:szCs w:val="24"/>
        </w:rPr>
      </w:pPr>
      <w:r>
        <w:rPr>
          <w:rFonts w:eastAsia="Calibri"/>
          <w:color w:val="000000"/>
          <w:sz w:val="24"/>
          <w:szCs w:val="24"/>
        </w:rPr>
        <w:t xml:space="preserve">Удельный вес отдельных видов доходов (%) в сумме налоговых и неналоговых доходов составил:      </w:t>
      </w:r>
    </w:p>
    <w:tbl>
      <w:tblPr>
        <w:tblStyle w:val="TableNormal"/>
        <w:name w:val="Таблица6"/>
        <w:tabOrder w:val="0"/>
        <w:jc w:val="left"/>
        <w:tblInd w:w="0" w:type="dxa"/>
        <w:tblW w:w="9780" w:type="dxa"/>
        <w:pPr>
          <w:rPr>
            <w:color w:val="000000"/>
          </w:rPr>
        </w:pPr>
        <w:tblLook w:val="0600" w:firstRow="0" w:lastRow="0" w:firstColumn="0" w:lastColumn="0" w:noHBand="1" w:noVBand="1"/>
      </w:tblPr>
      <w:tblGrid>
        <w:gridCol w:w="8022"/>
        <w:gridCol w:w="282"/>
        <w:gridCol w:w="1476"/>
      </w:tblGrid>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налог на доходы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65,0</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акцизы по подакцизным товарам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2,9</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упрощенная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8,0</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патентная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1,7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земельный налог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5,1</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налог на имущество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1,0</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государственная пошлина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3,4</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арендная плата за земли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6,2</w:t>
            </w:r>
          </w:p>
        </w:tc>
      </w:tr>
      <w:tr>
        <w:trPr>
          <w:tblHeader w:val="0"/>
          <w:cantSplit w:val="0"/>
          <w:trHeight w:val="120" w:hRule="atLeast"/>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аренда имущества казны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2,2</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доходы от оказания платных услуг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доходы от продажи материальных и нематериальных активов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 штрафы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0091700" protected="1"/>
          </w:tcPr>
          <w:p>
            <w:pPr>
              <w:rPr>
                <w:color w:val="000000"/>
                <w:sz w:val="24"/>
                <w:szCs w:val="24"/>
              </w:rPr>
            </w:pPr>
            <w:r>
              <w:rPr>
                <w:color w:val="000000"/>
                <w:sz w:val="24"/>
                <w:szCs w:val="24"/>
              </w:rPr>
              <w:t>1,6</w:t>
            </w:r>
          </w:p>
        </w:tc>
      </w:tr>
    </w:tbl>
    <w:p>
      <w:pPr>
        <w:ind w:firstLine="720"/>
        <w:spacing/>
        <w:jc w:val="both"/>
        <w:rPr>
          <w:rFonts w:eastAsia="Calibri"/>
          <w:color w:val="000000"/>
          <w:sz w:val="24"/>
          <w:szCs w:val="24"/>
        </w:rPr>
      </w:pPr>
      <w:r>
        <w:rPr>
          <w:rFonts w:eastAsia="Calibri"/>
          <w:color w:val="000000"/>
          <w:sz w:val="24"/>
          <w:szCs w:val="24"/>
        </w:rPr>
        <w:t xml:space="preserve">                                                        </w:t>
        <w:tab/>
        <w:tab/>
        <w:tab/>
        <w:tab/>
        <w:tab/>
        <w:t xml:space="preserve">                         </w:t>
      </w:r>
    </w:p>
    <w:p>
      <w:pPr>
        <w:ind w:firstLine="720"/>
        <w:spacing/>
        <w:contextualSpacing/>
        <w:jc w:val="both"/>
        <w:widowControl/>
        <w:rPr>
          <w:iCs/>
          <w:color w:val="000000"/>
        </w:rPr>
      </w:pPr>
      <w:r>
        <w:rPr>
          <w:rFonts w:eastAsia="Calibri"/>
          <w:color w:val="000000"/>
          <w:sz w:val="24"/>
          <w:szCs w:val="24"/>
        </w:rPr>
        <w:t xml:space="preserve">Основной объем доходов местного бюджета за 9 месяцев 2025 года обеспечен </w:t>
      </w:r>
      <w:r>
        <w:rPr>
          <w:rFonts w:eastAsia="Calibri"/>
          <w:b/>
          <w:bCs/>
          <w:i/>
          <w:iCs/>
          <w:color w:val="000000"/>
          <w:sz w:val="24"/>
          <w:szCs w:val="24"/>
        </w:rPr>
        <w:t>налогом на доходы физических лиц</w:t>
      </w:r>
      <w:r>
        <w:rPr>
          <w:rFonts w:eastAsia="Calibri"/>
          <w:b/>
          <w:bCs/>
          <w:color w:val="000000"/>
          <w:sz w:val="24"/>
          <w:szCs w:val="24"/>
        </w:rPr>
        <w:t>,</w:t>
      </w:r>
      <w:r>
        <w:rPr>
          <w:rFonts w:eastAsia="Calibri"/>
          <w:color w:val="000000"/>
          <w:sz w:val="24"/>
          <w:szCs w:val="24"/>
        </w:rPr>
        <w:t xml:space="preserve"> </w:t>
      </w:r>
      <w:r>
        <w:rPr>
          <w:color w:val="000000"/>
          <w:sz w:val="24"/>
          <w:szCs w:val="24"/>
        </w:rPr>
        <w:t xml:space="preserve">получено 519 890,5 тыс. рублей. </w:t>
      </w:r>
      <w:r>
        <w:rPr>
          <w:iCs/>
          <w:color w:val="000000"/>
          <w:sz w:val="24"/>
          <w:szCs w:val="24"/>
        </w:rPr>
        <w:t xml:space="preserve">К плану поступление выполнено на 69,1 %. По сравнению с уровнем прошлого года поступление увеличилось на 64 814,0 тыс. рублей или на 14,2 %. </w:t>
      </w:r>
      <w:r>
        <w:rPr>
          <w:iCs/>
          <w:color w:val="000000"/>
        </w:rPr>
      </w:r>
    </w:p>
    <w:p>
      <w:pPr>
        <w:ind w:firstLine="720"/>
        <w:spacing/>
        <w:contextualSpacing/>
        <w:jc w:val="both"/>
        <w:widowControl/>
        <w:rPr>
          <w:color w:val="000000"/>
          <w:kern w:val="1"/>
          <w:sz w:val="24"/>
          <w:szCs w:val="24"/>
          <w:shd w:val="clear" w:fill="ffffff"/>
        </w:rPr>
      </w:pPr>
      <w:r>
        <w:rPr>
          <w:color w:val="000000"/>
          <w:sz w:val="24"/>
          <w:szCs w:val="24"/>
        </w:rPr>
        <w:t xml:space="preserve">Налог взимаемый в связи с применением </w:t>
      </w:r>
      <w:r>
        <w:rPr>
          <w:b/>
          <w:bCs/>
          <w:i/>
          <w:iCs/>
          <w:color w:val="000000"/>
          <w:sz w:val="24"/>
          <w:szCs w:val="24"/>
        </w:rPr>
        <w:t>упрощённой системой налогообложения</w:t>
      </w:r>
      <w:r>
        <w:rPr>
          <w:color w:val="000000"/>
          <w:sz w:val="24"/>
          <w:szCs w:val="24"/>
          <w:shd w:val="clear" w:fill="ffffff"/>
        </w:rPr>
        <w:t xml:space="preserve"> за   9 месяцев 2025 год к плану поступление составило - 64 039,6 тыс. рублей.(81,2%). </w:t>
      </w:r>
      <w:r>
        <w:rPr>
          <w:color w:val="000000"/>
          <w:kern w:val="1"/>
          <w:sz w:val="24"/>
          <w:szCs w:val="24"/>
          <w:shd w:val="clear" w:fill="ffffff"/>
          <w:lang w:eastAsia="ru-ru"/>
        </w:rPr>
        <w:t>Уменьшение по сравнению с уровнем прошлого года составило 3 994,6 тыс. рублей или на 5,9 %, в связи со снижением поступлений по следу</w:t>
      </w:r>
      <w:r>
        <w:rPr>
          <w:color w:val="000000"/>
          <w:kern w:val="1"/>
          <w:sz w:val="24"/>
          <w:szCs w:val="24"/>
          <w:shd w:val="clear" w:fill="ffffff"/>
        </w:rPr>
        <w:t>ющим налогоплательщикам:</w:t>
      </w:r>
      <w:r>
        <w:rPr>
          <w:color w:val="000000"/>
          <w:kern w:val="1"/>
          <w:sz w:val="24"/>
          <w:szCs w:val="24"/>
          <w:shd w:val="clear" w:fill="ffffff"/>
        </w:rPr>
      </w:r>
    </w:p>
    <w:p>
      <w:pPr>
        <w:pStyle w:val="para121"/>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rPr>
        <w:t xml:space="preserve">- в связи  со снижением поступлений по </w:t>
      </w:r>
      <w:r>
        <w:rPr>
          <w:rFonts w:ascii="Times New Roman" w:hAnsi="Times New Roman" w:eastAsia="Times New Roman" w:cs="Times New Roman"/>
          <w:color w:val="000000"/>
          <w:sz w:val="24"/>
          <w:lang w:eastAsia="zh-cn"/>
        </w:rPr>
        <w:t xml:space="preserve"> ООО «Стройтехнология» на 2564,0 т</w:t>
      </w:r>
      <w:r>
        <w:rPr>
          <w:rFonts w:ascii="Times New Roman" w:hAnsi="Times New Roman" w:eastAsia="Times New Roman" w:cs="Times New Roman"/>
          <w:color w:val="000000"/>
          <w:sz w:val="24"/>
          <w:shd w:val="clear" w:fill="ffffff"/>
          <w:lang w:eastAsia="zh-cn"/>
        </w:rPr>
        <w:t xml:space="preserve">ыс. рублей, </w:t>
      </w:r>
      <w:r>
        <w:rPr>
          <w:rFonts w:ascii="Times New Roman" w:hAnsi="Times New Roman" w:eastAsia="Times New Roman" w:cs="Times New Roman"/>
          <w:color w:val="000000"/>
          <w:sz w:val="24"/>
          <w:shd w:val="clear" w:fill="ffffff"/>
          <w:lang w:eastAsia="zh-cn"/>
        </w:rPr>
        <w:t>ООО Частная охранная организация «Кремлевская стена»  на 833,0 тыс..</w:t>
      </w:r>
      <w:r>
        <w:rPr>
          <w:rFonts w:ascii="Times New Roman" w:hAnsi="Times New Roman" w:eastAsia="Times New Roman" w:cs="Times New Roman"/>
          <w:color w:val="000000"/>
          <w:sz w:val="24"/>
          <w:shd w:val="clear" w:fill="ffffff"/>
          <w:lang w:eastAsia="zh-cn"/>
        </w:rPr>
      </w:r>
    </w:p>
    <w:p>
      <w:pPr>
        <w:pStyle w:val="para121"/>
        <w:ind w:right="58" w:hanging="9"/>
        <w:spacing/>
        <w:jc w:val="both"/>
        <w:rPr>
          <w:rFonts w:ascii="Times New Roman" w:hAnsi="Times New Roman" w:eastAsia="Times New Roman" w:cs="Times New Roman"/>
          <w:color w:val="000000"/>
          <w:sz w:val="24"/>
          <w:shd w:val="clear" w:fill="ffffff"/>
          <w:lang w:eastAsia="zh-cn"/>
        </w:rPr>
      </w:pPr>
      <w:r>
        <w:rPr>
          <w:rFonts w:ascii="Times New Roman" w:hAnsi="Times New Roman" w:eastAsia="Times New Roman" w:cs="Times New Roman"/>
          <w:color w:val="000000"/>
          <w:sz w:val="24"/>
          <w:shd w:val="clear" w:fill="ffffff"/>
          <w:lang w:eastAsia="zh-cn"/>
        </w:rPr>
        <w:tab/>
        <w:tab/>
        <w:t>В тоже время, произошел рост по следующим налогоплательщикам:</w:t>
      </w:r>
    </w:p>
    <w:p>
      <w:pPr>
        <w:pStyle w:val="para121"/>
        <w:ind w:right="58" w:hanging="9"/>
        <w:spacing/>
        <w:jc w:val="both"/>
        <w:rPr>
          <w:rFonts w:ascii="Times New Roman" w:hAnsi="Times New Roman" w:eastAsia="Times New Roman" w:cs="Times New Roman"/>
          <w:color w:val="000000"/>
          <w:sz w:val="24"/>
          <w:shd w:val="clear" w:fill="ffffff"/>
        </w:rPr>
      </w:pPr>
      <w:r>
        <w:rPr>
          <w:rFonts w:ascii="Times New Roman" w:hAnsi="Times New Roman" w:eastAsia="Times New Roman" w:cs="Times New Roman"/>
          <w:color w:val="000000"/>
          <w:sz w:val="24"/>
          <w:shd w:val="clear" w:fill="ffffff"/>
        </w:rPr>
        <w:t xml:space="preserve">- ООО «Гармония здоровья Кемерово»  ИНН 4246022805 – на 616,0 тыс. рублей или в 3,0 раза (рост налоговой базы);  </w:t>
      </w:r>
    </w:p>
    <w:p>
      <w:pPr>
        <w:ind w:firstLine="720"/>
        <w:spacing/>
        <w:contextualSpacing/>
        <w:jc w:val="both"/>
        <w:widowControl/>
        <w:rPr>
          <w:color w:val="000000"/>
          <w:sz w:val="24"/>
          <w:szCs w:val="24"/>
        </w:rPr>
      </w:pPr>
      <w:r>
        <w:rPr>
          <w:color w:val="000000"/>
          <w:kern w:val="1"/>
          <w:sz w:val="24"/>
          <w:szCs w:val="24"/>
          <w:shd w:val="clear" w:fill="ffffff"/>
          <w:lang w:eastAsia="ru-ru"/>
        </w:rPr>
        <w:t xml:space="preserve">- ООО «Стройгрупп» ИНН 4246024249 – на 975,0 тыс. рублей (миграция в налоговый орган 01.03.2024 года, передана переплата на ЕНП в марте 2024 года в сумме 975,0 тыс. рублей). </w:t>
      </w:r>
      <w:r>
        <w:rPr>
          <w:color w:val="000000"/>
          <w:sz w:val="24"/>
          <w:szCs w:val="24"/>
        </w:rPr>
        <w:t xml:space="preserve"> </w:t>
      </w:r>
    </w:p>
    <w:p>
      <w:pPr>
        <w:ind w:firstLine="720"/>
        <w:spacing/>
        <w:contextualSpacing/>
        <w:jc w:val="both"/>
        <w:widowControl/>
        <w:rPr>
          <w:color w:val="000000"/>
          <w:sz w:val="24"/>
          <w:szCs w:val="24"/>
        </w:rPr>
      </w:pPr>
      <w:r>
        <w:rPr>
          <w:b/>
          <w:bCs/>
          <w:i/>
          <w:iCs/>
          <w:color w:val="000000"/>
          <w:sz w:val="24"/>
          <w:szCs w:val="24"/>
        </w:rPr>
        <w:t>Налоги на имущество</w:t>
      </w:r>
      <w:r>
        <w:rPr>
          <w:color w:val="000000"/>
          <w:sz w:val="24"/>
          <w:szCs w:val="24"/>
        </w:rPr>
        <w:t xml:space="preserve"> - за 9 месяцев 2025г. получено 49 573,3 тыс. руб. К плану поступление составило 62,4%. По сравнению с уровнем прошлого года выполнение увеличилось на 19 703,5 тыс. руб. или на 24,3%.</w:t>
      </w:r>
    </w:p>
    <w:p>
      <w:pPr>
        <w:ind w:firstLine="720"/>
        <w:spacing/>
        <w:contextualSpacing/>
        <w:jc w:val="both"/>
        <w:widowControl/>
        <w:rPr>
          <w:color w:val="000000"/>
          <w:sz w:val="24"/>
          <w:szCs w:val="24"/>
        </w:rPr>
      </w:pPr>
      <w:r>
        <w:rPr>
          <w:b/>
          <w:bCs/>
          <w:i/>
          <w:iCs/>
          <w:color w:val="000000"/>
          <w:sz w:val="24"/>
          <w:szCs w:val="24"/>
        </w:rPr>
        <w:t>-транспортный налог</w:t>
      </w:r>
      <w:r>
        <w:rPr>
          <w:color w:val="000000"/>
          <w:sz w:val="24"/>
          <w:szCs w:val="24"/>
        </w:rPr>
        <w:t xml:space="preserve"> - получено 903,2 тыс. руб. К плану поступление налога составило 34,8%. По стравнению с уровнем прошлого года выполнение составило 86,4%.</w:t>
      </w:r>
    </w:p>
    <w:p>
      <w:pPr>
        <w:pStyle w:val="para121"/>
        <w:ind w:firstLine="709"/>
        <w:spacing/>
        <w:jc w:val="both"/>
        <w:rPr>
          <w:rFonts w:ascii="Times New Roman" w:hAnsi="Times New Roman" w:eastAsia="Times New Roman" w:cs="Times New Roman"/>
          <w:color w:val="000000"/>
          <w:sz w:val="24"/>
        </w:rPr>
      </w:pPr>
      <w:r>
        <w:rPr>
          <w:rFonts w:ascii="Times New Roman" w:hAnsi="Times New Roman" w:eastAsia="Times New Roman" w:cs="Times New Roman"/>
          <w:b/>
          <w:bCs/>
          <w:i/>
          <w:iCs/>
          <w:color w:val="000000"/>
          <w:sz w:val="24"/>
        </w:rPr>
        <w:t xml:space="preserve">-земельный налог - </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color w:val="000000"/>
          <w:sz w:val="24"/>
        </w:rPr>
        <w:t>за 9 месяцев  2025 года поступление – 40 402,7 тыс. рублей. К плану поступление налога составило 72,7 %. По сравнению с уровнем прошлого года поступление увеличилось на 8 760,15 тыс. рублей или в 1,3 раза.</w:t>
      </w:r>
    </w:p>
    <w:p>
      <w:pPr>
        <w:ind w:firstLine="720"/>
        <w:spacing/>
        <w:contextualSpacing/>
        <w:jc w:val="both"/>
        <w:widowControl/>
        <w:rPr>
          <w:iCs/>
          <w:color w:val="000000"/>
          <w:sz w:val="24"/>
          <w:szCs w:val="24"/>
        </w:rPr>
      </w:pPr>
      <w:r>
        <w:rPr>
          <w:b/>
          <w:color w:val="000000"/>
          <w:sz w:val="24"/>
          <w:szCs w:val="24"/>
        </w:rPr>
        <w:t xml:space="preserve">Неналоговые поступления. </w:t>
      </w:r>
      <w:r>
        <w:rPr>
          <w:color w:val="000000"/>
          <w:sz w:val="24"/>
          <w:szCs w:val="24"/>
        </w:rPr>
        <w:t xml:space="preserve">Доходы от использования имущества -   за 9 месяцев 2025 года получено </w:t>
      </w:r>
      <w:r>
        <w:rPr>
          <w:iCs/>
          <w:color w:val="000000"/>
          <w:sz w:val="24"/>
          <w:szCs w:val="24"/>
        </w:rPr>
        <w:t xml:space="preserve">73 477,1 тыс. рублей. К плану поступление составило 77,1 %. По сравнению с уровнем прошлого года поступление увеличилось на </w:t>
      </w:r>
      <w:r>
        <w:rPr>
          <w:color w:val="000000"/>
          <w:sz w:val="24"/>
          <w:szCs w:val="24"/>
        </w:rPr>
        <w:t>4 593,2</w:t>
      </w:r>
      <w:r>
        <w:rPr>
          <w:iCs/>
          <w:color w:val="000000"/>
          <w:sz w:val="24"/>
          <w:szCs w:val="24"/>
        </w:rPr>
        <w:t xml:space="preserve"> тыс. рублей или на 6,7%</w:t>
      </w:r>
      <w:r>
        <w:rPr>
          <w:iCs/>
          <w:color w:val="000000"/>
          <w:sz w:val="24"/>
          <w:szCs w:val="24"/>
        </w:rPr>
      </w:r>
    </w:p>
    <w:p>
      <w:pPr>
        <w:pStyle w:val="para28"/>
        <w:ind w:firstLine="709"/>
        <w:spacing w:line="240" w:lineRule="auto"/>
        <w:contextualSpacing/>
        <w:rPr>
          <w:color w:val="000000"/>
          <w:sz w:val="24"/>
          <w:szCs w:val="24"/>
          <w:shd w:val="clear" w:fill="ffffff"/>
          <w:lang w:eastAsia="en-us"/>
        </w:rPr>
      </w:pPr>
      <w:r>
        <w:rPr>
          <w:color w:val="000000"/>
          <w:sz w:val="24"/>
          <w:szCs w:val="24"/>
        </w:rPr>
        <w:t xml:space="preserve"> </w:t>
      </w:r>
      <w:r>
        <w:rPr>
          <w:b/>
          <w:color w:val="000000"/>
          <w:sz w:val="24"/>
          <w:szCs w:val="24"/>
        </w:rPr>
        <w:t xml:space="preserve">Плата за негативное воздействие на окружающую среду -   </w:t>
      </w:r>
      <w:r>
        <w:rPr>
          <w:color w:val="000000"/>
          <w:sz w:val="24"/>
          <w:szCs w:val="24"/>
        </w:rPr>
        <w:t>поступление – 2 676,8 тыс. рублей. К плану поступление составило 105,0 %. По сравнению с уровнем прошлого года увеличение на 834,4 тыс. рублей или в 1,5 раза,</w:t>
      </w:r>
      <w:r>
        <w:rPr>
          <w:color w:val="000000"/>
          <w:sz w:val="24"/>
          <w:szCs w:val="24"/>
          <w:shd w:val="clear" w:fill="ffffff"/>
        </w:rPr>
        <w:t xml:space="preserve"> в связи с </w:t>
      </w:r>
      <w:r>
        <w:rPr>
          <w:color w:val="000000"/>
          <w:sz w:val="24"/>
          <w:szCs w:val="24"/>
          <w:shd w:val="clear" w:fill="ffffff"/>
          <w:lang w:eastAsia="en-us"/>
        </w:rPr>
        <w:t>увеличением поступлений по МП «КомСАХ», ООО «Юникс», ООО «Разрез верхнетешский», ООО СП «Барзасское товарищество», АО «Кузнецкие ферросплавы».</w:t>
      </w:r>
      <w:r>
        <w:rPr>
          <w:color w:val="000000"/>
          <w:sz w:val="24"/>
          <w:szCs w:val="24"/>
          <w:shd w:val="clear" w:fill="ffffff"/>
          <w:lang w:eastAsia="en-us"/>
        </w:rPr>
      </w:r>
    </w:p>
    <w:p>
      <w:pPr>
        <w:pStyle w:val="para28"/>
        <w:ind w:firstLine="709"/>
        <w:spacing w:line="240" w:lineRule="auto"/>
        <w:contextualSpacing/>
        <w:rPr>
          <w:color w:val="000000"/>
          <w:sz w:val="24"/>
          <w:szCs w:val="24"/>
        </w:rPr>
      </w:pPr>
      <w:r>
        <w:rPr>
          <w:b/>
          <w:color w:val="000000"/>
          <w:sz w:val="24"/>
          <w:szCs w:val="24"/>
        </w:rPr>
        <w:t xml:space="preserve">Доходы от оказания платных услуг и компенсация затрат государства - </w:t>
      </w:r>
      <w:r>
        <w:rPr>
          <w:color w:val="000000"/>
          <w:sz w:val="24"/>
          <w:szCs w:val="24"/>
        </w:rPr>
        <w:t>поступление – 5 926,0 тыс. рублей. По сравнению с уровнем прошлого года поступление уменьшилось на 42 500,3 тыс. рублей или на 87,8 %.</w:t>
      </w:r>
    </w:p>
    <w:p>
      <w:pPr>
        <w:pStyle w:val="para26"/>
        <w:ind w:firstLine="709"/>
        <w:spacing/>
        <w:jc w:val="both"/>
        <w:rPr>
          <w:color w:val="000000"/>
          <w:sz w:val="24"/>
          <w:szCs w:val="24"/>
          <w:lang w:eastAsia="en-us"/>
        </w:rPr>
      </w:pPr>
      <w:r>
        <w:rPr>
          <w:b/>
          <w:bCs/>
          <w:color w:val="000000"/>
          <w:sz w:val="24"/>
          <w:szCs w:val="24"/>
          <w:lang w:eastAsia="en-us"/>
        </w:rPr>
        <w:tab/>
        <w:t xml:space="preserve">Штрафы, санкции, возмещение ущерба. </w:t>
      </w:r>
      <w:r>
        <w:rPr>
          <w:color w:val="000000"/>
          <w:sz w:val="24"/>
          <w:szCs w:val="24"/>
          <w:lang w:eastAsia="en-us"/>
        </w:rPr>
        <w:t>Поступление составило 12 877,3 тыс. рублей. К плану поступление составило 95,2 %. По сравнению с уровнем прошлого года поступление увеличилось в 9,7 раза или на 11 549,6 тыс. рублей.</w:t>
      </w:r>
      <w:r>
        <w:rPr>
          <w:color w:val="000000"/>
          <w:sz w:val="24"/>
          <w:szCs w:val="24"/>
          <w:shd w:val="clear" w:fill="ffffff"/>
          <w:lang w:eastAsia="en-us"/>
        </w:rPr>
        <w:t xml:space="preserve"> Поступление платежей по административным штрафам, установленным Кодексом Российской Федерации об административных правонарушениях по администратору доходов 874 - Управление по обеспечению деятельности Мировых судей в Кузбассе в сумме 1549,7 тыс. рублей, что по сравнению с уровнем прошлого года больше на 590,4 тыс. рублей или в 1,6 раза. Поступление платежей по искам о возмещении</w:t>
      </w:r>
      <w:r>
        <w:rPr>
          <w:color w:val="000000"/>
          <w:sz w:val="24"/>
          <w:szCs w:val="24"/>
          <w:lang w:eastAsia="en-us"/>
        </w:rPr>
        <w:t xml:space="preserve"> вреда, причиненного окружающей среде:</w:t>
      </w:r>
    </w:p>
    <w:p>
      <w:pPr>
        <w:pStyle w:val="para26"/>
        <w:ind w:firstLine="709"/>
        <w:spacing/>
        <w:jc w:val="both"/>
        <w:rPr>
          <w:color w:val="000000"/>
          <w:sz w:val="24"/>
          <w:szCs w:val="24"/>
          <w:shd w:val="clear" w:fill="ffffff"/>
          <w:lang w:eastAsia="en-us"/>
        </w:rPr>
      </w:pPr>
      <w:r>
        <w:rPr>
          <w:color w:val="000000"/>
          <w:sz w:val="24"/>
          <w:szCs w:val="24"/>
          <w:lang w:eastAsia="en-us"/>
        </w:rPr>
        <w:t xml:space="preserve">- </w:t>
      </w:r>
      <w:r>
        <w:rPr>
          <w:color w:val="000000"/>
          <w:sz w:val="24"/>
          <w:szCs w:val="24"/>
          <w:shd w:val="clear" w:fill="ffffff"/>
          <w:lang w:eastAsia="en-us"/>
        </w:rPr>
        <w:t>по</w:t>
      </w:r>
      <w:r>
        <w:rPr>
          <w:color w:val="000000"/>
          <w:sz w:val="24"/>
          <w:szCs w:val="24"/>
          <w:lang w:eastAsia="en-us"/>
        </w:rPr>
        <w:t xml:space="preserve"> администратору доходов 905 - КУМИ администрации Анжеро-Судженского городского округа </w:t>
      </w:r>
      <w:r>
        <w:rPr>
          <w:color w:val="000000"/>
          <w:sz w:val="24"/>
          <w:szCs w:val="24"/>
          <w:shd w:val="clear" w:fill="ffffff"/>
          <w:lang w:eastAsia="en-us"/>
        </w:rPr>
        <w:t xml:space="preserve">в сумме 8 522,4 тыс. рублей </w:t>
      </w:r>
      <w:r>
        <w:rPr>
          <w:color w:val="000000"/>
          <w:sz w:val="24"/>
          <w:szCs w:val="24"/>
          <w:lang w:eastAsia="en-us"/>
        </w:rPr>
        <w:t>от АО «Транснефть Западная Сибирь»</w:t>
      </w:r>
      <w:r>
        <w:rPr>
          <w:color w:val="000000"/>
          <w:sz w:val="24"/>
          <w:szCs w:val="24"/>
          <w:shd w:val="clear" w:fill="ffffff"/>
          <w:lang w:eastAsia="en-us"/>
        </w:rPr>
        <w:t>;</w:t>
      </w:r>
      <w:r>
        <w:rPr>
          <w:color w:val="000000"/>
          <w:sz w:val="24"/>
          <w:szCs w:val="24"/>
          <w:shd w:val="clear" w:fill="ffffff"/>
          <w:lang w:eastAsia="en-us"/>
        </w:rPr>
      </w:r>
    </w:p>
    <w:p>
      <w:pPr>
        <w:pStyle w:val="para26"/>
        <w:ind w:firstLine="709"/>
        <w:spacing/>
        <w:jc w:val="both"/>
        <w:rPr>
          <w:color w:val="000000"/>
          <w:sz w:val="24"/>
          <w:szCs w:val="24"/>
          <w:shd w:val="clear" w:fill="ffffff"/>
          <w:lang w:eastAsia="en-us"/>
        </w:rPr>
      </w:pPr>
      <w:r>
        <w:rPr>
          <w:color w:val="000000"/>
          <w:sz w:val="24"/>
          <w:szCs w:val="24"/>
          <w:shd w:val="clear" w:fill="ffffff"/>
          <w:lang w:eastAsia="en-us"/>
        </w:rPr>
        <w:t xml:space="preserve">- по </w:t>
      </w:r>
      <w:r>
        <w:rPr>
          <w:color w:val="000000"/>
          <w:sz w:val="24"/>
          <w:szCs w:val="24"/>
          <w:lang w:eastAsia="en-us"/>
        </w:rPr>
        <w:t>администратору доходов 048 - Ф</w:t>
      </w:r>
      <w:r>
        <w:rPr>
          <w:color w:val="000000"/>
          <w:sz w:val="24"/>
          <w:szCs w:val="24"/>
        </w:rPr>
        <w:t>едеральная служба по надзору в сфере природопользования</w:t>
      </w:r>
      <w:r>
        <w:rPr>
          <w:color w:val="000000"/>
          <w:sz w:val="24"/>
          <w:szCs w:val="24"/>
          <w:lang w:eastAsia="en-us"/>
        </w:rPr>
        <w:t xml:space="preserve"> </w:t>
      </w:r>
      <w:r>
        <w:rPr>
          <w:color w:val="000000"/>
          <w:sz w:val="24"/>
          <w:szCs w:val="24"/>
          <w:shd w:val="clear" w:fill="ffffff"/>
          <w:lang w:eastAsia="en-us"/>
        </w:rPr>
        <w:t>в сумме 1436,8 тыс. рублей по исполнительному листу о взыскании вреда, причиненного почвам с администрации Анжеро-Судженского городского округа.</w:t>
      </w:r>
      <w:r>
        <w:rPr>
          <w:color w:val="000000"/>
          <w:sz w:val="24"/>
          <w:szCs w:val="24"/>
          <w:shd w:val="clear" w:fill="ffffff"/>
          <w:lang w:eastAsia="en-us"/>
        </w:rPr>
      </w:r>
    </w:p>
    <w:p>
      <w:pPr>
        <w:pStyle w:val="para28"/>
        <w:ind w:firstLine="709"/>
        <w:spacing w:line="240" w:lineRule="auto"/>
        <w:contextualSpacing/>
        <w:rPr>
          <w:b/>
          <w:color w:val="000000"/>
          <w:sz w:val="24"/>
          <w:szCs w:val="24"/>
        </w:rPr>
      </w:pPr>
      <w:r>
        <w:rPr>
          <w:b/>
          <w:color w:val="000000"/>
          <w:sz w:val="24"/>
          <w:szCs w:val="24"/>
        </w:rPr>
        <w:t>Безвозмездные поступления от государственных (муниципальных) организаций в бюджеты городских округов.</w:t>
      </w:r>
      <w:r>
        <w:rPr>
          <w:color w:val="000000"/>
          <w:sz w:val="24"/>
          <w:szCs w:val="24"/>
        </w:rPr>
        <w:t xml:space="preserve"> Первоначальный план по безвозмездным поступлениям на 2025 год утвержден в сумме 0,0 тыс. рублей. Поступление на 01.10.2025 года составило 27,7 тыс. рублей.</w:t>
      </w:r>
      <w:r>
        <w:rPr>
          <w:b/>
          <w:color w:val="000000"/>
          <w:sz w:val="24"/>
          <w:szCs w:val="24"/>
        </w:rPr>
      </w:r>
    </w:p>
    <w:p>
      <w:pPr>
        <w:pStyle w:val="para28"/>
        <w:ind w:firstLine="709"/>
        <w:spacing w:line="240" w:lineRule="auto"/>
        <w:contextualSpacing/>
        <w:rPr>
          <w:color w:val="000000"/>
          <w:sz w:val="24"/>
          <w:szCs w:val="24"/>
        </w:rPr>
      </w:pPr>
      <w:r>
        <w:rPr>
          <w:color w:val="000000"/>
          <w:sz w:val="24"/>
          <w:szCs w:val="24"/>
        </w:rPr>
      </w:r>
    </w:p>
    <w:p>
      <w:pPr>
        <w:ind w:firstLine="709"/>
        <w:spacing/>
        <w:contextualSpacing/>
        <w:jc w:val="center"/>
        <w:widowControl/>
        <w:rPr>
          <w:b/>
          <w:bCs/>
          <w:color w:val="000000"/>
          <w:sz w:val="24"/>
          <w:szCs w:val="24"/>
        </w:rPr>
      </w:pPr>
      <w:r>
        <w:rPr>
          <w:b/>
          <w:color w:val="000000"/>
          <w:sz w:val="24"/>
          <w:szCs w:val="24"/>
        </w:rPr>
        <w:t>6.3. Расходы бюджета</w:t>
      </w:r>
      <w:r>
        <w:rPr>
          <w:b/>
          <w:bCs/>
          <w:color w:val="000000"/>
          <w:sz w:val="24"/>
          <w:szCs w:val="24"/>
        </w:rPr>
      </w:r>
    </w:p>
    <w:p>
      <w:pPr>
        <w:ind w:firstLine="709"/>
        <w:spacing/>
        <w:contextualSpacing/>
        <w:jc w:val="center"/>
        <w:widowControl/>
        <w:rPr>
          <w:b/>
          <w:bCs/>
          <w:color w:val="000000"/>
          <w:sz w:val="24"/>
          <w:szCs w:val="24"/>
          <w:shd w:val="clear" w:fill="ffffff"/>
        </w:rPr>
      </w:pPr>
      <w:r>
        <w:rPr>
          <w:b/>
          <w:bCs/>
          <w:color w:val="000000"/>
          <w:sz w:val="24"/>
          <w:szCs w:val="24"/>
        </w:rPr>
        <w:t>Исполнение бюджета муниципального образования</w:t>
      </w:r>
      <w:r>
        <w:rPr>
          <w:b/>
          <w:bCs/>
          <w:color w:val="000000"/>
          <w:sz w:val="24"/>
          <w:szCs w:val="24"/>
          <w:shd w:val="clear" w:fill="ffffff"/>
        </w:rPr>
      </w:r>
    </w:p>
    <w:p>
      <w:pPr>
        <w:ind w:firstLine="709"/>
        <w:spacing/>
        <w:contextualSpacing/>
        <w:jc w:val="center"/>
        <w:widowControl/>
        <w:rPr>
          <w:b/>
          <w:bCs/>
          <w:color w:val="000000"/>
          <w:sz w:val="24"/>
          <w:szCs w:val="24"/>
          <w:shd w:val="clear" w:fill="ffffff"/>
        </w:rPr>
      </w:pPr>
      <w:r>
        <w:rPr>
          <w:b/>
          <w:bCs/>
          <w:color w:val="000000"/>
          <w:sz w:val="24"/>
          <w:szCs w:val="24"/>
          <w:shd w:val="clear" w:fill="ffffff"/>
        </w:rPr>
        <w:t>«Анжеро-Судженский городской округ» по расходам, тыс. руб.</w:t>
      </w:r>
    </w:p>
    <w:p>
      <w:pPr>
        <w:ind w:firstLine="709"/>
        <w:spacing/>
        <w:contextualSpacing/>
        <w:jc w:val="center"/>
        <w:widowControl/>
        <w:rPr>
          <w:b/>
          <w:bCs/>
          <w:color w:val="000000"/>
          <w:sz w:val="24"/>
          <w:szCs w:val="24"/>
          <w:shd w:val="clear" w:fill="ffffff"/>
        </w:rPr>
      </w:pPr>
      <w:r>
        <w:rPr>
          <w:b/>
          <w:bCs/>
          <w:color w:val="000000"/>
          <w:sz w:val="24"/>
          <w:szCs w:val="24"/>
          <w:shd w:val="clear" w:fill="ffffff"/>
        </w:rPr>
      </w:r>
    </w:p>
    <w:tbl>
      <w:tblPr>
        <w:tblStyle w:val="NormalTable"/>
        <w:name w:val="Таблица5"/>
        <w:tabOrder w:val="0"/>
        <w:jc w:val="left"/>
        <w:tblInd w:w="-255" w:type="dxa"/>
        <w:tblW w:w="10036" w:type="dxa"/>
        <w:pPr>
          <w:ind w:left="-255"/>
        </w:pPr>
        <w:tblLook w:val="0600" w:firstRow="0" w:lastRow="0" w:firstColumn="0" w:lastColumn="0" w:noHBand="1" w:noVBand="1"/>
      </w:tblPr>
      <w:tblGrid>
        <w:gridCol w:w="2526"/>
        <w:gridCol w:w="926"/>
        <w:gridCol w:w="1284"/>
        <w:gridCol w:w="1490"/>
        <w:gridCol w:w="1180"/>
        <w:gridCol w:w="1488"/>
        <w:gridCol w:w="1142"/>
      </w:tblGrid>
      <w:tr>
        <w:trPr>
          <w:tblHeader/>
          <w:cantSplit w:val="0"/>
          <w:trHeight w:val="250" w:hRule="atLeast"/>
        </w:trPr>
        <w:tc>
          <w:tcPr>
            <w:tcW w:w="252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ind w:left="-255"/>
              <w:spacing/>
              <w:contextualSpacing/>
              <w:jc w:val="center"/>
              <w:widowControl/>
              <w:rPr>
                <w:b/>
                <w:bCs/>
                <w:color w:val="000000"/>
              </w:rPr>
            </w:pPr>
            <w:r>
              <w:rPr>
                <w:b/>
                <w:bCs/>
                <w:color w:val="000000"/>
              </w:rPr>
              <w:t xml:space="preserve">Наименования </w:t>
            </w:r>
          </w:p>
          <w:p>
            <w:pPr>
              <w:spacing/>
              <w:contextualSpacing/>
              <w:jc w:val="center"/>
              <w:widowControl/>
              <w:rPr>
                <w:color w:val="000000"/>
              </w:rPr>
            </w:pPr>
            <w:r>
              <w:rPr>
                <w:b/>
                <w:bCs/>
                <w:color w:val="000000"/>
              </w:rPr>
              <w:t xml:space="preserve"> разделов БК</w:t>
            </w:r>
            <w:r>
              <w:rPr>
                <w:color w:val="000000"/>
              </w:rPr>
            </w:r>
          </w:p>
        </w:tc>
        <w:tc>
          <w:tcPr>
            <w:tcW w:w="4880"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9 месяцев 2025 год</w:t>
            </w:r>
            <w:r>
              <w:rPr>
                <w:color w:val="000000"/>
              </w:rPr>
            </w:r>
          </w:p>
        </w:tc>
        <w:tc>
          <w:tcPr>
            <w:tcW w:w="148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b/>
                <w:bCs/>
                <w:color w:val="000000"/>
              </w:rPr>
            </w:pPr>
            <w:r>
              <w:rPr>
                <w:b/>
                <w:bCs/>
                <w:color w:val="000000"/>
              </w:rPr>
              <w:t>9 мес.       2024 год</w:t>
            </w:r>
          </w:p>
          <w:p>
            <w:pPr>
              <w:spacing/>
              <w:contextualSpacing/>
              <w:jc w:val="center"/>
              <w:widowControl/>
              <w:rPr>
                <w:color w:val="000000"/>
              </w:rPr>
            </w:pPr>
            <w:r>
              <w:rPr>
                <w:b/>
                <w:bCs/>
                <w:color w:val="000000"/>
              </w:rPr>
              <w:t>(исполнение)</w:t>
            </w:r>
            <w:r>
              <w:rPr>
                <w:color w:val="000000"/>
              </w:rPr>
            </w:r>
          </w:p>
        </w:tc>
        <w:tc>
          <w:tcPr>
            <w:tcW w:w="1142" w:type="dxa"/>
            <w:vMerge w:val="restart"/>
            <w:vAlign w:val="bottom"/>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 исполнения             к  2024 г.</w:t>
            </w:r>
            <w:r>
              <w:rPr>
                <w:color w:val="000000"/>
              </w:rPr>
            </w:r>
          </w:p>
        </w:tc>
      </w:tr>
      <w:tr>
        <w:trPr>
          <w:tblHeader/>
          <w:cantSplit w:val="0"/>
          <w:trHeight w:val="680" w:hRule="atLeast"/>
        </w:trPr>
        <w:tc>
          <w:tcPr>
            <w:tcW w:w="2526"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 xml:space="preserve">план </w:t>
            </w:r>
            <w:r>
              <w:rPr>
                <w:color w:val="000000"/>
              </w:rPr>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 xml:space="preserve">исполнение </w:t>
            </w:r>
            <w:r>
              <w:rPr>
                <w:color w:val="000000"/>
              </w:rPr>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 xml:space="preserve">% исполнения </w:t>
            </w:r>
            <w:r>
              <w:rPr>
                <w:color w:val="000000"/>
              </w:rPr>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spacing/>
              <w:contextualSpacing/>
              <w:jc w:val="center"/>
              <w:widowControl/>
              <w:rPr>
                <w:color w:val="000000"/>
              </w:rPr>
            </w:pPr>
            <w:r>
              <w:rPr>
                <w:b/>
                <w:bCs/>
                <w:color w:val="000000"/>
              </w:rPr>
              <w:t>% в доле расходов</w:t>
            </w:r>
            <w:r>
              <w:rPr>
                <w:color w:val="000000"/>
              </w:rPr>
            </w:r>
          </w:p>
        </w:tc>
        <w:tc>
          <w:tcPr>
            <w:tcW w:w="1488" w:type="dxa"/>
            <w:vMerge/>
            <w:vAlign w:val="center"/>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tc>
        <w:tc>
          <w:tcPr>
            <w:tcW w:w="1142" w:type="dxa"/>
            <w:vMerge/>
            <w:vAlign w:val="bottom"/>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tc>
      </w:tr>
      <w:tr>
        <w:trPr>
          <w:tblHeader w:val="0"/>
          <w:cantSplit w:val="0"/>
          <w:trHeight w:val="289"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Общегосударственные вопросы</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272,4</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173,8</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63,8</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195,5</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88,9</w:t>
            </w:r>
          </w:p>
        </w:tc>
      </w:tr>
      <w:tr>
        <w:trPr>
          <w:tblHeader w:val="0"/>
          <w:cantSplit w:val="0"/>
          <w:trHeight w:val="163"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Национальная безопасность и правоохранительная деятельность</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20,5</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15,0</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73,2</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0,5</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17,4</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86,2</w:t>
            </w:r>
          </w:p>
        </w:tc>
      </w:tr>
      <w:tr>
        <w:trPr>
          <w:tblHeader w:val="0"/>
          <w:cantSplit w:val="0"/>
          <w:trHeight w:val="153"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Национальная экономика</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654,0</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511,8</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78,3</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16,4</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208,4</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Жилищно-коммунальное хозяйство</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198,9</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140,0</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70,4</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4,5</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566,9</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24,7</w:t>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Охрана окружающей среды</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2,7</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0,1</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135</w:t>
            </w:r>
          </w:p>
        </w:tc>
      </w:tr>
      <w:tr>
        <w:trPr>
          <w:tblHeader w:val="0"/>
          <w:cantSplit w:val="0"/>
          <w:trHeight w:val="70"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Образование</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1919,9</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1463,2</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76,2</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46,9</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1456,2</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100,5</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 xml:space="preserve">Культура, кинематография </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169,6</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122,9</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72,5</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3,9</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122,6</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100,2</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Социальная политика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739,2</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588,9</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79,7</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18,9</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605,2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97,3</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Физическая культура и спорт</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140,7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101,8</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72,4</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3,3</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103,0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98,8</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Средства массовой информации</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1,2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Обслуживание государственного и муниципального долга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0,1</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0,1</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0,1</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color w:val="000000"/>
              </w:rPr>
            </w:pPr>
            <w:r>
              <w:rPr>
                <w:color w:val="000000"/>
              </w:rPr>
              <w:t>0</w:t>
            </w:r>
          </w:p>
        </w:tc>
      </w:tr>
      <w:tr>
        <w:trPr>
          <w:tblHeader w:val="0"/>
          <w:cantSplit w:val="0"/>
          <w:trHeight w:val="70" w:hRule="atLeast"/>
        </w:trPr>
        <w:tc>
          <w:tcPr>
            <w:tcW w:w="252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Всего</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4188,0</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3120,2</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75,8</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100,0</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3278,5</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70091700" protected="0"/>
          </w:tcPr>
          <w:p>
            <w:pPr>
              <w:rPr>
                <w:b/>
                <w:bCs/>
                <w:color w:val="000000"/>
              </w:rPr>
            </w:pPr>
            <w:r>
              <w:rPr>
                <w:b/>
                <w:bCs/>
                <w:color w:val="000000"/>
              </w:rPr>
              <w:t>95,2</w:t>
            </w:r>
          </w:p>
        </w:tc>
      </w:tr>
    </w:tbl>
    <w:p>
      <w:pPr>
        <w:ind w:firstLine="708"/>
        <w:spacing/>
        <w:jc w:val="both"/>
        <w:rPr>
          <w:color w:val="000000"/>
          <w:sz w:val="24"/>
          <w:szCs w:val="24"/>
        </w:rPr>
      </w:pPr>
      <w:r>
        <w:rPr>
          <w:color w:val="000000"/>
          <w:sz w:val="24"/>
          <w:szCs w:val="24"/>
        </w:rPr>
        <w:t xml:space="preserve">За 9 месяцев 2025 год на расходы из бюджета муниципального образования «Анжеро-Судженский городской округ Кемеровской области - Кузбасса» (далее - местный бюджет) направлено на 4,8 % меньше, чем в аналогичном периоде прошлого года – 3120,2 млн  рублей (9 месяцев 2024 г. - 3278,5 млн  рублей), и составляет 75,8 % планируемой на год суммы. </w:t>
      </w:r>
    </w:p>
    <w:p>
      <w:pPr>
        <w:ind w:firstLine="709"/>
        <w:spacing/>
        <w:jc w:val="both"/>
        <w:rPr>
          <w:color w:val="000000"/>
          <w:sz w:val="24"/>
          <w:szCs w:val="24"/>
        </w:rPr>
      </w:pPr>
      <w:r>
        <w:rPr>
          <w:color w:val="000000"/>
          <w:sz w:val="24"/>
          <w:szCs w:val="24"/>
        </w:rPr>
        <w:t>По разделам израсходовано:</w:t>
      </w:r>
    </w:p>
    <w:p>
      <w:pPr>
        <w:ind w:firstLine="709"/>
        <w:spacing/>
        <w:jc w:val="both"/>
        <w:rPr>
          <w:color w:val="000000"/>
          <w:sz w:val="24"/>
          <w:szCs w:val="24"/>
        </w:rPr>
      </w:pPr>
      <w:r>
        <w:rPr>
          <w:color w:val="000000"/>
          <w:sz w:val="24"/>
          <w:szCs w:val="24"/>
        </w:rPr>
        <w:t xml:space="preserve">- на решение </w:t>
      </w:r>
      <w:r>
        <w:rPr>
          <w:i/>
          <w:color w:val="000000"/>
          <w:sz w:val="24"/>
          <w:szCs w:val="24"/>
        </w:rPr>
        <w:t>«Общегосударственные вопросы»</w:t>
      </w:r>
      <w:r>
        <w:rPr>
          <w:color w:val="000000"/>
          <w:sz w:val="24"/>
          <w:szCs w:val="24"/>
        </w:rPr>
        <w:t xml:space="preserve"> - 173,8 млн  рублей – 63,8 % от планируемой на год суммы и на 11,1 % меньше, чем в аналогичном периоде прошлого года, снижение расходов связано с увеличением плановых ассигнований на судебные расходы в III квартале 2025 года, в связи с поступлением исполнительных листов (план — 34.4 млн рублей, исполнение за 9 месяцев 2025 года - 9,8 млн. рублей или 28,5 % от плана). Кроме того, низкий процент исполнения за 9 месяцев 2025 года по содержанию муниципального имущества - 51,5 % (план - 2,5 млн рублей, исполнение - 1,3 млн рублей), в связи с тем, что здание лыжной базы «Спартак» было передано в муниципальную собственность в апреле 2025 года,  при этом увеличены расходы на выплату ФОТ с 126,5 млн рублей в 2024 году до 137,6 млн рублей в 2025 году (повышение  на 7,7 % с 01.03.2024 г.);</w:t>
      </w:r>
    </w:p>
    <w:p>
      <w:pPr>
        <w:ind w:firstLine="709"/>
        <w:spacing/>
        <w:jc w:val="both"/>
        <w:rPr>
          <w:color w:val="000000"/>
          <w:sz w:val="24"/>
          <w:szCs w:val="24"/>
        </w:rPr>
      </w:pPr>
      <w:r>
        <w:rPr>
          <w:color w:val="000000"/>
          <w:sz w:val="24"/>
          <w:szCs w:val="24"/>
        </w:rPr>
        <w:t xml:space="preserve">- на раздел </w:t>
      </w:r>
      <w:r>
        <w:rPr>
          <w:i/>
          <w:color w:val="000000"/>
          <w:sz w:val="24"/>
          <w:szCs w:val="24"/>
        </w:rPr>
        <w:t>«Национальная безопасность и правоохранительная деятельность»</w:t>
      </w:r>
      <w:r>
        <w:rPr>
          <w:color w:val="000000"/>
          <w:sz w:val="24"/>
          <w:szCs w:val="24"/>
        </w:rPr>
        <w:t xml:space="preserve"> направлено 15,0 млн  рублей – 73,2 % запланированного на год финансирования, 86,2 % к уровню 9 месяцев прошлого года или на 2,4 млн  рублей меньше объема аналогичного периода прошлого года. Уменьшение связано с исполнением по субсидии на модернизацию системы оповещения в 2024 году. Также увеличены расходы на выплату ФОТ с 7,5 млн  рублей в 2024 году до 7,8 млн  рублей в 2025 году (повышение на 7,7 % с 01.03.2024 г.);</w:t>
      </w:r>
    </w:p>
    <w:p>
      <w:pPr>
        <w:ind w:firstLine="709"/>
        <w:spacing/>
        <w:jc w:val="both"/>
        <w:rPr>
          <w:color w:val="000000"/>
          <w:sz w:val="24"/>
          <w:szCs w:val="24"/>
        </w:rPr>
      </w:pPr>
      <w:r>
        <w:rPr>
          <w:color w:val="000000"/>
          <w:sz w:val="24"/>
          <w:szCs w:val="24"/>
        </w:rPr>
        <w:t xml:space="preserve">- на финансирование вопросов </w:t>
      </w:r>
      <w:r>
        <w:rPr>
          <w:i/>
          <w:color w:val="000000"/>
          <w:sz w:val="24"/>
          <w:szCs w:val="24"/>
        </w:rPr>
        <w:t>«Национальная экономика»</w:t>
      </w:r>
      <w:r>
        <w:rPr>
          <w:color w:val="000000"/>
          <w:sz w:val="24"/>
          <w:szCs w:val="24"/>
        </w:rPr>
        <w:t xml:space="preserve"> в текущем периоде направлено 78,3 % от годового объема средств – 511,8 млн  рублей, что больше аналогичного периода 2024 года на 303,4 млн рублей. Повышение в связи с переходом расходов на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части отопления в данный раздел из раздела 05 «Жилищно-коммунальное хозяйство», исполнение за 9 месяцев 2025 года составило 388,7 млн  рублей;</w:t>
      </w:r>
    </w:p>
    <w:p>
      <w:pPr>
        <w:ind w:firstLine="708"/>
        <w:spacing/>
        <w:jc w:val="both"/>
        <w:rPr>
          <w:color w:val="000000"/>
          <w:sz w:val="24"/>
          <w:szCs w:val="24"/>
        </w:rPr>
      </w:pPr>
      <w:r>
        <w:rPr>
          <w:color w:val="000000"/>
          <w:sz w:val="24"/>
          <w:szCs w:val="24"/>
        </w:rPr>
        <w:t xml:space="preserve">- на </w:t>
      </w:r>
      <w:r>
        <w:rPr>
          <w:i/>
          <w:color w:val="000000"/>
          <w:sz w:val="24"/>
          <w:szCs w:val="24"/>
        </w:rPr>
        <w:t>«Жилищно-коммунальное хозяйство»</w:t>
      </w:r>
      <w:r>
        <w:rPr>
          <w:color w:val="000000"/>
          <w:sz w:val="24"/>
          <w:szCs w:val="24"/>
        </w:rPr>
        <w:t xml:space="preserve"> за прошедший период направлено 70,4 % запланированных на год средств – 140,0 млн  рублей,  на 75,3 % меньше чем в аналогичном периоде прошлого года. </w:t>
      </w:r>
    </w:p>
    <w:p>
      <w:pPr>
        <w:ind w:firstLine="708"/>
        <w:spacing/>
        <w:jc w:val="both"/>
        <w:rPr>
          <w:color w:val="000000"/>
          <w:sz w:val="24"/>
          <w:szCs w:val="24"/>
        </w:rPr>
      </w:pPr>
      <w:r>
        <w:rPr>
          <w:color w:val="000000"/>
          <w:sz w:val="24"/>
          <w:szCs w:val="24"/>
        </w:rPr>
        <w:t>Снижение произошло за счет перехода расходов на отопление по субвенции  «Компенсация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 раздел 04 «Национальная экономика»;</w:t>
      </w:r>
    </w:p>
    <w:p>
      <w:pPr>
        <w:spacing/>
        <w:jc w:val="both"/>
        <w:rPr>
          <w:color w:val="000000"/>
          <w:sz w:val="24"/>
          <w:szCs w:val="24"/>
        </w:rPr>
      </w:pPr>
      <w:r>
        <w:rPr>
          <w:color w:val="000000"/>
          <w:sz w:val="24"/>
          <w:szCs w:val="24"/>
        </w:rPr>
        <w:tab/>
        <w:t xml:space="preserve">- расходы по разделу </w:t>
      </w:r>
      <w:r>
        <w:rPr>
          <w:i/>
          <w:color w:val="000000"/>
          <w:sz w:val="24"/>
          <w:szCs w:val="24"/>
        </w:rPr>
        <w:t>«Образование»</w:t>
      </w:r>
      <w:r>
        <w:rPr>
          <w:color w:val="000000"/>
          <w:sz w:val="24"/>
          <w:szCs w:val="24"/>
        </w:rPr>
        <w:t xml:space="preserve"> увеличились на 0,5 % к уровню соответствующего периода прошлого года   и  составили 1463,2 млн  рублей – 76,2 % годового значения. </w:t>
      </w:r>
    </w:p>
    <w:p>
      <w:pPr>
        <w:ind w:firstLine="709"/>
        <w:spacing/>
        <w:jc w:val="both"/>
        <w:rPr>
          <w:color w:val="000000"/>
          <w:sz w:val="24"/>
          <w:szCs w:val="24"/>
        </w:rPr>
      </w:pPr>
      <w:r>
        <w:rPr>
          <w:color w:val="000000"/>
          <w:sz w:val="24"/>
          <w:szCs w:val="24"/>
        </w:rPr>
        <w:t>Увеличение ФОТ с 1201,3 млн рублей за 9 месяцев 2024 года до 1236,1 млн рублей за 9 месяцев 2025 года  (повышение на 7,7 % с 01.03.2024 г.);</w:t>
      </w:r>
    </w:p>
    <w:p>
      <w:pPr>
        <w:ind w:firstLine="709"/>
        <w:spacing/>
        <w:jc w:val="both"/>
        <w:rPr>
          <w:color w:val="000000"/>
          <w:sz w:val="24"/>
          <w:szCs w:val="24"/>
        </w:rPr>
      </w:pPr>
      <w:r>
        <w:rPr>
          <w:color w:val="000000"/>
          <w:sz w:val="24"/>
          <w:szCs w:val="24"/>
        </w:rPr>
        <w:t xml:space="preserve">- по разделу </w:t>
      </w:r>
      <w:r>
        <w:rPr>
          <w:i/>
          <w:color w:val="000000"/>
          <w:sz w:val="24"/>
          <w:szCs w:val="24"/>
        </w:rPr>
        <w:t>«Культура»</w:t>
      </w:r>
      <w:r>
        <w:rPr>
          <w:color w:val="000000"/>
          <w:sz w:val="24"/>
          <w:szCs w:val="24"/>
        </w:rPr>
        <w:t xml:space="preserve"> расходы составили 100,2 % от аналогичного периода 2024 года – 122,9 млн  рублей или 72,5 % от годового объема;</w:t>
      </w:r>
    </w:p>
    <w:p>
      <w:pPr>
        <w:ind w:firstLine="709"/>
        <w:spacing/>
        <w:jc w:val="both"/>
        <w:rPr>
          <w:color w:val="000000"/>
          <w:sz w:val="24"/>
          <w:szCs w:val="24"/>
        </w:rPr>
      </w:pPr>
      <w:r>
        <w:rPr>
          <w:color w:val="000000"/>
          <w:sz w:val="24"/>
          <w:szCs w:val="24"/>
        </w:rPr>
        <w:t xml:space="preserve">- расходы по разделу </w:t>
      </w:r>
      <w:r>
        <w:rPr>
          <w:i/>
          <w:color w:val="000000"/>
          <w:sz w:val="24"/>
          <w:szCs w:val="24"/>
        </w:rPr>
        <w:t>«Социальная политика»</w:t>
      </w:r>
      <w:r>
        <w:rPr>
          <w:color w:val="000000"/>
          <w:sz w:val="24"/>
          <w:szCs w:val="24"/>
        </w:rPr>
        <w:t xml:space="preserve"> составили 79,7 % от запланированных годовых затрат – 588,9 млн  рублей, по сравнению с 2024 годом расходы снизились на 2,7 %. Сокращение в связи с уменьшением расходов на обеспечение жильем детей-сирот, за 9 месяцев 2025 года исполнение 66,5 млн  рублей, за 9 месяцев 2024 года исполнение составило 97,5 млн  рублей;</w:t>
      </w:r>
    </w:p>
    <w:p>
      <w:pPr>
        <w:ind w:firstLine="709"/>
        <w:spacing/>
        <w:jc w:val="both"/>
        <w:rPr>
          <w:color w:val="000000"/>
          <w:sz w:val="24"/>
          <w:szCs w:val="24"/>
        </w:rPr>
      </w:pPr>
      <w:r>
        <w:rPr>
          <w:color w:val="000000"/>
          <w:sz w:val="24"/>
          <w:szCs w:val="24"/>
        </w:rPr>
        <w:t xml:space="preserve">- по разделу </w:t>
      </w:r>
      <w:r>
        <w:rPr>
          <w:i/>
          <w:color w:val="000000"/>
          <w:sz w:val="24"/>
          <w:szCs w:val="24"/>
        </w:rPr>
        <w:t>«Физическая культура и спорт»</w:t>
      </w:r>
      <w:r>
        <w:rPr>
          <w:color w:val="000000"/>
          <w:sz w:val="24"/>
          <w:szCs w:val="24"/>
        </w:rPr>
        <w:t xml:space="preserve"> расходы сократились на 1,2 % и составили 101,8 млн  рублей, 72,4 % планируемого на год объема, в т.ч. увеличены расходы по ФОТ с 91,3 млн рублей в 2024 году до 94,4 млн рублей в 2025 году (повышение на  7,7 % с 01.03.2024 г.). </w:t>
      </w:r>
    </w:p>
    <w:p>
      <w:pPr>
        <w:spacing/>
        <w:jc w:val="both"/>
        <w:rPr>
          <w:color w:val="000000"/>
          <w:sz w:val="24"/>
          <w:szCs w:val="24"/>
        </w:rPr>
      </w:pPr>
      <w:r>
        <w:rPr>
          <w:color w:val="000000"/>
          <w:sz w:val="24"/>
          <w:szCs w:val="24"/>
        </w:rPr>
        <w:tab/>
        <w:t>Наибольшая доля расходов местного бюджета приходится на образование (46,9 %), социальную политику (18,9 %), национальную экономику (16,4 %), жилищно-общегосударственные вопросы (5,6 %), коммунальное хозяйство (4,5 %), культуру (3,9 %),  и далее идут: физкультура (3,3 %), менее 1% в доле расходов приходится на национальную безопасность и правоохранительную деятельность (0,3 %).</w:t>
      </w:r>
    </w:p>
    <w:p>
      <w:pPr>
        <w:pStyle w:val="para25"/>
        <w:spacing/>
        <w:jc w:val="both"/>
        <w:rPr>
          <w:color w:val="000000"/>
          <w:sz w:val="24"/>
          <w:szCs w:val="24"/>
        </w:rPr>
      </w:pPr>
      <w:r>
        <w:rPr>
          <w:color w:val="000000"/>
          <w:sz w:val="24"/>
          <w:szCs w:val="24"/>
        </w:rPr>
        <w:t>На финансирование отраслей социальной направленности, к которым относятся образование, культура, социальная политика, спорт, было направлено 2276,8  млн рублей, это 73,0 % от общего объема.</w:t>
      </w:r>
    </w:p>
    <w:p>
      <w:pPr>
        <w:pStyle w:val="para25"/>
        <w:spacing/>
        <w:jc w:val="both"/>
        <w:rPr>
          <w:color w:val="000000"/>
          <w:sz w:val="24"/>
          <w:szCs w:val="24"/>
        </w:rPr>
      </w:pPr>
      <w:r>
        <w:rPr>
          <w:color w:val="000000"/>
          <w:sz w:val="24"/>
          <w:szCs w:val="24"/>
        </w:rPr>
        <w:t>На финансирование направлений экономического характера, к которым относятся разделы «Национальная экономика», «Жилищно-коммунальное хозяйство» было направлено 651,8 млн  рублей, их доля в расходах – 20,9 %.</w:t>
      </w:r>
    </w:p>
    <w:p>
      <w:pPr>
        <w:spacing/>
        <w:jc w:val="both"/>
        <w:rPr>
          <w:color w:val="000000"/>
          <w:sz w:val="28"/>
          <w:szCs w:val="28"/>
        </w:rPr>
      </w:pPr>
      <w:r>
        <w:rPr>
          <w:color w:val="000000"/>
          <w:sz w:val="28"/>
          <w:szCs w:val="28"/>
        </w:rPr>
      </w:r>
    </w:p>
    <w:p>
      <w:pPr>
        <w:spacing/>
        <w:contextualSpacing/>
        <w:jc w:val="center"/>
        <w:widowControl/>
        <w:tabs defTabSz="720">
          <w:tab w:val="left" w:pos="2268" w:leader="none"/>
        </w:tabs>
        <w:rPr>
          <w:color w:val="000000"/>
          <w:sz w:val="24"/>
          <w:szCs w:val="24"/>
        </w:rPr>
      </w:pPr>
      <w:r>
        <w:rPr>
          <w:color w:val="000000"/>
          <w:sz w:val="24"/>
          <w:szCs w:val="24"/>
        </w:rPr>
      </w:r>
    </w:p>
    <w:p>
      <w:pPr>
        <w:ind w:firstLine="709"/>
        <w:spacing/>
        <w:contextualSpacing/>
        <w:jc w:val="center"/>
        <w:widowControl/>
        <w:tabs defTabSz="720">
          <w:tab w:val="left" w:pos="2268" w:leader="none"/>
        </w:tabs>
        <w:rPr>
          <w:b/>
          <w:color w:val="000000"/>
          <w:sz w:val="24"/>
          <w:szCs w:val="24"/>
        </w:rPr>
      </w:pPr>
      <w:r>
        <w:rPr>
          <w:b/>
          <w:color w:val="000000"/>
          <w:sz w:val="24"/>
          <w:szCs w:val="24"/>
        </w:rPr>
        <w:t>7. УПРАВЛЕНИЕ МУНИЦИПАЛЬНЫМ ИМУЩЕСТВОМ</w:t>
      </w:r>
    </w:p>
    <w:p>
      <w:pPr>
        <w:ind w:firstLine="709"/>
        <w:spacing/>
        <w:contextualSpacing/>
        <w:jc w:val="center"/>
        <w:widowControl/>
        <w:tabs defTabSz="720">
          <w:tab w:val="left" w:pos="2268" w:leader="none"/>
        </w:tabs>
        <w:rPr>
          <w:b/>
          <w:color w:val="000000"/>
          <w:sz w:val="24"/>
          <w:szCs w:val="24"/>
        </w:rPr>
      </w:pPr>
      <w:r>
        <w:rPr>
          <w:b/>
          <w:color w:val="000000"/>
          <w:sz w:val="24"/>
          <w:szCs w:val="24"/>
        </w:rPr>
      </w:r>
    </w:p>
    <w:p>
      <w:pPr>
        <w:pStyle w:val="para125"/>
        <w:ind w:left="360" w:firstLine="348"/>
        <w:spacing/>
        <w:jc w:val="center"/>
        <w:widowControl w:val="0"/>
        <w:rPr>
          <w:b/>
          <w:color w:val="000000"/>
          <w:szCs w:val="24"/>
          <w:u w:color="auto" w:val="single"/>
        </w:rPr>
      </w:pPr>
      <w:r>
        <w:rPr>
          <w:b/>
          <w:color w:val="000000"/>
          <w:szCs w:val="24"/>
          <w:u w:color="auto" w:val="single"/>
        </w:rPr>
        <w:t>Имущественные отношения.</w:t>
      </w:r>
    </w:p>
    <w:p>
      <w:pPr>
        <w:ind w:firstLine="348"/>
        <w:spacing/>
        <w:contextualSpacing/>
        <w:jc w:val="both"/>
        <w:widowControl/>
        <w:rPr>
          <w:color w:val="000000"/>
          <w:sz w:val="24"/>
          <w:szCs w:val="24"/>
        </w:rPr>
      </w:pPr>
      <w:r>
        <w:rPr>
          <w:color w:val="000000"/>
        </w:rPr>
      </w:r>
      <w:bookmarkStart w:id="0" w:name="_Hlk181199399"/>
      <w:r>
        <w:rPr>
          <w:color w:val="000000"/>
        </w:rPr>
      </w:r>
      <w:r>
        <w:rPr>
          <w:color w:val="000000"/>
          <w:sz w:val="24"/>
          <w:szCs w:val="24"/>
        </w:rPr>
        <w:t>В рамках реализации положений действующего законодательства РФ, во исполнение нормативно-правовых актов, Комитетом по управлению муниципальным имуществом администрации Анжеро-Судженского городского округа за 9 месяцев 2025 года была проведена работа по следующим направлениям:</w:t>
      </w:r>
      <w:r>
        <w:rPr>
          <w:color w:val="000000"/>
          <w:sz w:val="24"/>
          <w:szCs w:val="24"/>
        </w:rPr>
      </w:r>
    </w:p>
    <w:p>
      <w:pPr>
        <w:pStyle w:val="para125"/>
        <w:spacing/>
        <w:contextualSpacing/>
        <w:jc w:val="center"/>
        <w:widowControl w:val="0"/>
        <w:tabs defTabSz="720"/>
        <w:rPr>
          <w:b/>
          <w:color w:val="000000"/>
          <w:szCs w:val="24"/>
          <w:u w:color="auto" w:val="single"/>
        </w:rPr>
      </w:pPr>
      <w:r>
        <w:rPr>
          <w:b/>
          <w:color w:val="000000"/>
          <w:szCs w:val="24"/>
          <w:u w:color="auto" w:val="single"/>
        </w:rPr>
      </w:r>
    </w:p>
    <w:p>
      <w:pPr>
        <w:pStyle w:val="para95"/>
        <w:ind w:firstLine="709"/>
        <w:spacing/>
        <w:contextualSpacing/>
        <w:jc w:val="both"/>
        <w:widowControl w:val="0"/>
        <w:rPr>
          <w:color w:val="000000"/>
          <w:szCs w:val="24"/>
        </w:rPr>
      </w:pPr>
      <w:r>
        <w:rPr>
          <w:color w:val="000000"/>
          <w:szCs w:val="24"/>
        </w:rPr>
        <w:t>В Управлении Федеральной службы государственной регистрации, кадастра и картографии по Кемеровской области зарегистрировано право муниципальной собственности на 92 объект недвижимости.</w:t>
      </w:r>
    </w:p>
    <w:p>
      <w:pPr>
        <w:pStyle w:val="para11"/>
        <w:ind w:firstLine="709"/>
        <w:spacing/>
        <w:contextualSpacing/>
        <w:jc w:val="both"/>
        <w:rPr>
          <w:color w:val="000000"/>
        </w:rPr>
      </w:pPr>
      <w:r>
        <w:rPr>
          <w:color w:val="000000"/>
        </w:rPr>
        <w:t>Принято в муниципальную собственность 5 объекта нежилого фонда, ранее имеющие статус бесхозяйных соответственно, и зарегистрировано право муниципальной собственности.</w:t>
      </w:r>
    </w:p>
    <w:p>
      <w:pPr>
        <w:pStyle w:val="para11"/>
        <w:ind w:firstLine="709"/>
        <w:spacing/>
        <w:contextualSpacing/>
        <w:jc w:val="both"/>
        <w:rPr>
          <w:color w:val="000000"/>
        </w:rPr>
      </w:pPr>
      <w:r>
        <w:rPr>
          <w:color w:val="000000"/>
        </w:rPr>
        <w:t>Принято в муниципальную собственность 77 объектов жилищного фонда, площадью 2480,9 кв.м.</w:t>
      </w:r>
    </w:p>
    <w:p>
      <w:pPr>
        <w:pStyle w:val="para11"/>
        <w:ind w:firstLine="709"/>
        <w:spacing/>
        <w:contextualSpacing/>
        <w:jc w:val="both"/>
        <w:rPr>
          <w:color w:val="000000"/>
        </w:rPr>
      </w:pPr>
      <w:r>
        <w:rPr>
          <w:color w:val="000000"/>
        </w:rPr>
        <w:t xml:space="preserve">По соглашениям о выкупе жилого помещения в муниципальную собственность принят 1 объект жилищного фонда, общей площадью 33,3 кв.м. </w:t>
      </w:r>
    </w:p>
    <w:p>
      <w:pPr>
        <w:pStyle w:val="para11"/>
        <w:ind w:firstLine="709"/>
        <w:spacing/>
        <w:contextualSpacing/>
        <w:jc w:val="both"/>
        <w:rPr>
          <w:color w:val="000000"/>
        </w:rPr>
      </w:pPr>
      <w:r>
        <w:rPr>
          <w:color w:val="000000"/>
        </w:rPr>
        <w:t>В рамках 185-ФЗ, в связи со сносом ветхого и аварийного жилья, в целях реализации муниципальных программ «Переселение граждан из ветхого и аварийного жилья» и ГУРШ, а также в рамках реализации Федерального Закона от 30.12.2020 №518-ФЗ «О внесении изменений в отдельные законодательные акты РФ» за 9 месяцев 2025</w:t>
      </w:r>
      <w:r>
        <w:rPr>
          <w:color w:val="000000"/>
          <w:lang w:eastAsia="ru-ru"/>
        </w:rPr>
        <w:t xml:space="preserve"> года 56</w:t>
      </w:r>
      <w:r>
        <w:rPr>
          <w:color w:val="000000"/>
        </w:rPr>
        <w:t xml:space="preserve"> объектов недвижимости снято с кадастрового учета, в результате 215 объектов муниципального жилищного фонда, общей площадью 9554,4 кв.м., снято с баланса. В результате приватизации муниципального жилищного фонда 104 объекта снято с баланса муниципального образования.</w:t>
      </w:r>
    </w:p>
    <w:p>
      <w:pPr>
        <w:pStyle w:val="para25"/>
        <w:spacing/>
        <w:contextualSpacing/>
        <w:jc w:val="both"/>
        <w:rPr>
          <w:color w:val="000000"/>
          <w:sz w:val="24"/>
          <w:szCs w:val="24"/>
        </w:rPr>
      </w:pPr>
      <w:r>
        <w:rPr>
          <w:color w:val="000000"/>
          <w:sz w:val="24"/>
          <w:szCs w:val="24"/>
        </w:rPr>
        <w:t>По состоянию на 01.10.2025 на территории Анжеро-Судженского городского округа зарегистрировано 2 муниципальных предприятия и 87 муниципальных учреждений.</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08.08.2024 №568 «О ликвидации муниципального автономного научного учреждения Анжеро-Судженского городского округа «Инновационное производственное архитектурно-градостроительное бюро» объявлена ликвидация МАНУ «АГБ».</w:t>
      </w:r>
    </w:p>
    <w:p>
      <w:pPr>
        <w:ind w:firstLine="708"/>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17.04.2025 №465 «О реорганизации в форме слияния муниципального казенного учреждения АСГО «Реабилитационный центр для детей и подростков с ограниченными возможностями» и муниципального казенного учреждения АСГО «Социально-реабилитационный Центр для несовершеннолетних» в муниципальное казенное учреждение АСГО «Центр социальной помощи семье и детям» объявлена реорганизация МКУ АСГО «Реабилитационный центр для детей и подростков с ограниченными возможностями» в форме слияния с МКУ АСГО «Социально-реабилитационный Центр для несовершеннолетних». Сведения о прекращении деятельности МКУ «РЦДП» внесены в ЕГРЮЛ 12.08.2025.</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31.03.2025 №418 «О ликвидации муниципального бюджетного дошкольного образовательного учреждения Анжеро-Судженского городского округа «Детский сад №36» объявлена ликвидация МБДОУ АСГО «Детский сад №36» (ОГРН 1024200508958).</w:t>
      </w:r>
    </w:p>
    <w:p>
      <w:pPr>
        <w:ind w:firstLine="708"/>
        <w:spacing/>
        <w:contextualSpacing/>
        <w:jc w:val="both"/>
        <w:rPr>
          <w:color w:val="000000"/>
          <w:sz w:val="24"/>
          <w:szCs w:val="24"/>
        </w:rPr>
      </w:pPr>
      <w:r>
        <w:rPr>
          <w:color w:val="000000"/>
          <w:sz w:val="24"/>
          <w:szCs w:val="24"/>
        </w:rPr>
        <w:t>Решением Арбитражного суда Кемеровской области от 20.09.2022 по делу №А 27-5304/2022 МП «Жилье» (ОГРН 1114246000923, ИНН 4246000576, адрес: 652470, Кемеровская область - Кузбасс, г Анжеро-Судженск, ул.С.Перовской, 27) признано несостоятельным (банкротом), открыто конкурсное производство. Конкурсным управляющим утверждена Берман Наталья Владимировна (ИНН 421715341396, СНИЛС 112-960-891 57) - член ААУ «Содружество» (ОГРН 1137800008477, ИНН 7801351420, адрес: 192012, г. Санкт-Петербург, Суворовский пр., 65, д. 65, лит. Б, пом. 8-Н-43).</w:t>
      </w:r>
    </w:p>
    <w:p>
      <w:pPr>
        <w:ind w:firstLine="708"/>
        <w:spacing/>
        <w:contextualSpacing/>
        <w:jc w:val="both"/>
        <w:rPr>
          <w:color w:val="000000"/>
          <w:sz w:val="24"/>
          <w:szCs w:val="24"/>
        </w:rPr>
      </w:pPr>
      <w:r>
        <w:rPr>
          <w:color w:val="000000"/>
          <w:sz w:val="24"/>
          <w:szCs w:val="24"/>
        </w:rPr>
        <w:t>Решением Арбитражного суда Кемеровской области от 05.03.2025 по делу № А27-13539/2024 муниципальное предприятие Анжеро-Судженского городского округа «Городской коммунальный сервис» (ИНН 4246018140) признано банкротом и открыто конкурсное производство. Конкурсным управляющим должника утвержден Шаяхметов Артур Альбертович (адрес для направления корреспонденции: 420012, Республика Татарстан, г.Казань, а/я 229).</w:t>
      </w:r>
    </w:p>
    <w:p>
      <w:pPr>
        <w:ind w:firstLine="709"/>
        <w:spacing/>
        <w:contextualSpacing/>
        <w:jc w:val="both"/>
        <w:rPr>
          <w:color w:val="000000"/>
          <w:sz w:val="24"/>
          <w:szCs w:val="24"/>
        </w:rPr>
      </w:pPr>
      <w:r>
        <w:rPr>
          <w:color w:val="000000"/>
          <w:sz w:val="24"/>
          <w:szCs w:val="24"/>
        </w:rPr>
        <w:t>По состоянию на 01.10.2025 г. заключено:</w:t>
      </w:r>
    </w:p>
    <w:p>
      <w:pPr>
        <w:ind w:firstLine="708"/>
        <w:spacing/>
        <w:contextualSpacing/>
        <w:jc w:val="both"/>
        <w:rPr>
          <w:color w:val="000000"/>
          <w:sz w:val="24"/>
          <w:szCs w:val="24"/>
        </w:rPr>
      </w:pPr>
      <w:r>
        <w:rPr>
          <w:color w:val="000000"/>
          <w:sz w:val="24"/>
          <w:szCs w:val="24"/>
        </w:rPr>
        <w:t>- 11 договоров аренды муниципального нежилого фонда, общей площадью 5245,6  кв.м.;</w:t>
      </w:r>
    </w:p>
    <w:p>
      <w:pPr>
        <w:ind w:firstLine="708"/>
        <w:spacing/>
        <w:contextualSpacing/>
        <w:jc w:val="both"/>
        <w:rPr>
          <w:color w:val="000000"/>
          <w:sz w:val="24"/>
          <w:szCs w:val="24"/>
        </w:rPr>
      </w:pPr>
      <w:r>
        <w:rPr>
          <w:color w:val="000000"/>
          <w:sz w:val="24"/>
          <w:szCs w:val="24"/>
        </w:rPr>
        <w:t>- 18 концессионных соглашений на муниципальные объекты инженерной инфраструктуры (теплоснабжения), протяженностью 78139.68 м.</w:t>
      </w:r>
    </w:p>
    <w:p>
      <w:pPr>
        <w:ind w:firstLine="708"/>
        <w:spacing/>
        <w:contextualSpacing/>
        <w:jc w:val="both"/>
        <w:rPr>
          <w:color w:val="000000"/>
          <w:sz w:val="24"/>
          <w:szCs w:val="24"/>
        </w:rPr>
      </w:pPr>
      <w:r>
        <w:rPr>
          <w:color w:val="000000"/>
          <w:sz w:val="24"/>
          <w:szCs w:val="24"/>
        </w:rPr>
        <w:t>- 1 концессионное соглашение на муниципальные объекты инженерной инфраструктуры (водоснабжения), протяженностью 612990,7 м.</w:t>
      </w:r>
    </w:p>
    <w:p>
      <w:pPr>
        <w:ind w:firstLine="708"/>
        <w:contextualSpacing/>
        <w:rPr>
          <w:color w:val="000000"/>
          <w:sz w:val="24"/>
          <w:szCs w:val="24"/>
        </w:rPr>
      </w:pPr>
      <w:r>
        <w:rPr>
          <w:color w:val="000000"/>
          <w:sz w:val="24"/>
          <w:szCs w:val="24"/>
        </w:rPr>
        <w:t>- 1 концессионное соглашение на муниципальные объекты инженерной инфраструктуры (водоснабжения), протяженностью 117101,23 м.</w:t>
      </w:r>
    </w:p>
    <w:p>
      <w:pPr>
        <w:ind w:firstLine="708"/>
        <w:spacing/>
        <w:contextualSpacing/>
        <w:jc w:val="both"/>
        <w:rPr>
          <w:color w:val="000000"/>
          <w:sz w:val="24"/>
          <w:szCs w:val="24"/>
        </w:rPr>
      </w:pPr>
      <w:r>
        <w:rPr>
          <w:color w:val="000000"/>
          <w:sz w:val="24"/>
          <w:szCs w:val="24"/>
        </w:rPr>
        <w:t>За 9 месяцев 2025 года:</w:t>
      </w:r>
    </w:p>
    <w:p>
      <w:pPr>
        <w:ind w:firstLine="708"/>
        <w:spacing/>
        <w:contextualSpacing/>
        <w:jc w:val="both"/>
        <w:rPr>
          <w:color w:val="000000"/>
          <w:sz w:val="24"/>
          <w:szCs w:val="24"/>
        </w:rPr>
      </w:pPr>
      <w:r>
        <w:rPr>
          <w:color w:val="000000"/>
          <w:sz w:val="24"/>
          <w:szCs w:val="24"/>
        </w:rPr>
        <w:t>- доходы от сдачи в аренду имущества, находящегося в оперативном управлении органов управления городских округов… -  поступление на 01.10.2025 г. –  326,07 тыс. руб. Уменьшение по сравнению с аналогичным периодом прошлого года на 1,46 тыс. руб. связано с расторжением договоров аренды.</w:t>
      </w:r>
    </w:p>
    <w:p>
      <w:pPr>
        <w:ind w:firstLine="708"/>
        <w:spacing/>
        <w:contextualSpacing/>
        <w:jc w:val="both"/>
        <w:rPr>
          <w:color w:val="000000"/>
          <w:sz w:val="24"/>
          <w:szCs w:val="24"/>
        </w:rPr>
      </w:pPr>
      <w:r>
        <w:rPr>
          <w:color w:val="000000"/>
          <w:sz w:val="24"/>
          <w:szCs w:val="24"/>
        </w:rPr>
        <w:t>- доходы от сдачи в аренду имущества, составляющего казну городских округов - поступление – 17 229,25 тыс. руб., в том числе 331,08 тыс. руб. пеня. По сравнению с уровнем прошлого года – увеличение составило 3 038,64 тыс. руб. в связи оплатой задолженности по платежам. Основным плательщиком является ООО «ЭнергоПаритет».</w:t>
      </w:r>
    </w:p>
    <w:p>
      <w:pPr>
        <w:ind w:firstLine="708"/>
        <w:spacing/>
        <w:contextualSpacing/>
        <w:jc w:val="both"/>
        <w:rPr>
          <w:color w:val="000000"/>
          <w:sz w:val="24"/>
          <w:szCs w:val="24"/>
        </w:rPr>
      </w:pPr>
      <w:r>
        <w:rPr>
          <w:color w:val="000000"/>
          <w:sz w:val="24"/>
          <w:szCs w:val="24"/>
        </w:rPr>
        <w:t xml:space="preserve">Контроль за поступлением неналоговых платежей ведется постоянно, в случаях отсутствия оплаты, с неплательщиками ведется претензионно-исковая работа.  </w:t>
      </w:r>
    </w:p>
    <w:p>
      <w:pPr>
        <w:ind w:firstLine="708"/>
        <w:spacing/>
        <w:contextualSpacing/>
        <w:jc w:val="both"/>
        <w:rPr>
          <w:color w:val="000000"/>
          <w:sz w:val="24"/>
          <w:szCs w:val="24"/>
        </w:rPr>
      </w:pPr>
      <w:r>
        <w:rPr>
          <w:color w:val="000000"/>
          <w:sz w:val="24"/>
          <w:szCs w:val="24"/>
        </w:rPr>
        <w:t xml:space="preserve">За 9 месяцев 2025 года направлено 3 претензии на сумму 2 186,16 тыс. руб., в т. ч. пеня -73,25 тыс. руб. На 01.10.2025 за 2025 год подано 3 исковых заявления на сумму 2 186,16 тыс. руб., в т. ч. пеня 73,25 тыс. руб. Арбитражным судом Кемеровской области-Кузбасса удовлетворено 3 исковых заявления на сумму 2 186,16 тыс. руб., в т. ч. пеня – 73,25 тыс. руб., по данным решениям возбуждены исполнительные производства. </w:t>
      </w:r>
    </w:p>
    <w:p>
      <w:pPr>
        <w:ind w:firstLine="708"/>
        <w:spacing/>
        <w:contextualSpacing/>
        <w:jc w:val="both"/>
        <w:rPr>
          <w:color w:val="000000"/>
          <w:sz w:val="24"/>
          <w:szCs w:val="24"/>
        </w:rPr>
      </w:pPr>
      <w:r>
        <w:rPr>
          <w:color w:val="000000"/>
          <w:sz w:val="24"/>
          <w:szCs w:val="24"/>
        </w:rPr>
        <w:t>За период 2023 – 2024 годы было направлено 13 исковых заявлений на сумму 13 104,33 тыс. руб., в т. ч. пеня – 1 343,42 тыс. руб. Арбитражным судом Кемеровской области-Кузбасса удовлетворено 13 исковых заявления на сумму 13 104,33 тыс. руб., в т. ч. пеня – 1 343,42 тыс. руб., по данным решениям возбуждены исполнительные производства.</w:t>
      </w:r>
    </w:p>
    <w:p>
      <w:pPr>
        <w:ind w:firstLine="708"/>
        <w:spacing/>
        <w:contextualSpacing/>
        <w:jc w:val="both"/>
        <w:rPr>
          <w:color w:val="000000"/>
          <w:sz w:val="24"/>
          <w:szCs w:val="24"/>
        </w:rPr>
      </w:pPr>
      <w:r>
        <w:rPr>
          <w:color w:val="000000"/>
          <w:sz w:val="24"/>
          <w:szCs w:val="24"/>
        </w:rPr>
        <w:t xml:space="preserve">В результате претензионно-исковой работы, за 9 месяцев 2025 года поступило 2 446,25 тыс.руб., в т.ч. пеня – 331,078 тыс.руб. </w:t>
      </w:r>
    </w:p>
    <w:p>
      <w:pPr>
        <w:ind w:firstLine="708"/>
        <w:spacing/>
        <w:contextualSpacing/>
        <w:jc w:val="both"/>
        <w:rPr>
          <w:color w:val="000000"/>
          <w:sz w:val="24"/>
          <w:szCs w:val="24"/>
        </w:rPr>
      </w:pPr>
      <w:r>
        <w:rPr>
          <w:color w:val="000000"/>
          <w:sz w:val="24"/>
          <w:szCs w:val="24"/>
        </w:rPr>
        <w:t>По состоянию на 01.10.2025 имеется сумма невозможная к взысканию 6 394,28 тыс. руб. и пеня – 176,64 тыс. руб. (ООО «Водоканал» объявлена процедура банкротства).</w:t>
      </w:r>
    </w:p>
    <w:p>
      <w:pPr>
        <w:ind w:firstLine="708"/>
        <w:spacing/>
        <w:contextualSpacing/>
        <w:jc w:val="both"/>
        <w:rPr>
          <w:color w:val="000000"/>
          <w:sz w:val="24"/>
          <w:szCs w:val="24"/>
        </w:rPr>
      </w:pPr>
      <w:r>
        <w:rPr>
          <w:color w:val="000000"/>
          <w:sz w:val="24"/>
          <w:szCs w:val="24"/>
        </w:rPr>
        <w:t xml:space="preserve">        </w:t>
      </w:r>
    </w:p>
    <w:p>
      <w:pPr>
        <w:ind w:firstLine="708"/>
        <w:spacing/>
        <w:contextualSpacing/>
        <w:jc w:val="center"/>
        <w:rPr>
          <w:b/>
          <w:color w:val="000000"/>
          <w:sz w:val="24"/>
          <w:szCs w:val="24"/>
          <w:u w:color="auto" w:val="single"/>
        </w:rPr>
      </w:pPr>
      <w:r>
        <w:rPr>
          <w:b/>
          <w:color w:val="000000"/>
          <w:sz w:val="24"/>
          <w:szCs w:val="24"/>
          <w:u w:color="auto" w:val="single"/>
        </w:rPr>
        <w:t>Приватизация</w:t>
      </w:r>
    </w:p>
    <w:p>
      <w:pPr>
        <w:ind w:firstLine="708"/>
        <w:spacing/>
        <w:jc w:val="both"/>
        <w:rPr>
          <w:color w:val="000000"/>
          <w:sz w:val="24"/>
          <w:szCs w:val="24"/>
        </w:rPr>
      </w:pPr>
      <w:r>
        <w:rPr>
          <w:color w:val="000000"/>
          <w:sz w:val="24"/>
          <w:szCs w:val="24"/>
        </w:rPr>
        <w:t>На 01.10.2025 заключен 1 договор купли-продажи. По состоянию на 01.10.2025 поступления в местный бюджет от приватизации муниципального имущества составило 1 921,00 тыс.руб., в т.ч. за земельный участок в сумме 559,00 тыс.руб.  и  НДС в сумме 227,00 тыс.руб.  Реализован объект - мастерская по адресу: г. Анжеро-Судженск, ул. Куйбышева, 73, площадью 426 кв. м.</w:t>
      </w:r>
    </w:p>
    <w:p>
      <w:pPr>
        <w:ind w:firstLine="708"/>
        <w:spacing/>
        <w:contextualSpacing/>
        <w:jc w:val="both"/>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u w:color="auto" w:val="single"/>
        </w:rPr>
      </w:pPr>
      <w:r>
        <w:rPr>
          <w:color w:val="000000"/>
        </w:rPr>
      </w:r>
      <w:bookmarkEnd w:id="0"/>
      <w:r>
        <w:rPr>
          <w:color w:val="000000"/>
        </w:rPr>
      </w:r>
      <w:r>
        <w:rPr>
          <w:b/>
          <w:bCs/>
          <w:color w:val="000000"/>
          <w:sz w:val="24"/>
          <w:szCs w:val="24"/>
          <w:u w:color="auto" w:val="single"/>
        </w:rPr>
        <w:t>Земельные отношения</w:t>
      </w:r>
      <w:r>
        <w:rPr>
          <w:b/>
          <w:bCs/>
          <w:color w:val="000000"/>
          <w:sz w:val="24"/>
          <w:szCs w:val="24"/>
          <w:u w:color="auto" w:val="single"/>
        </w:rPr>
      </w:r>
    </w:p>
    <w:p>
      <w:pPr>
        <w:ind w:firstLine="708"/>
        <w:spacing/>
        <w:contextualSpacing/>
        <w:jc w:val="center"/>
        <w:widowControl/>
        <w:rPr>
          <w:b/>
          <w:bCs/>
          <w:color w:val="000000"/>
          <w:sz w:val="24"/>
          <w:szCs w:val="24"/>
          <w:u w:color="auto" w:val="single"/>
        </w:rPr>
      </w:pPr>
      <w:r>
        <w:rPr>
          <w:b/>
          <w:bCs/>
          <w:color w:val="000000"/>
          <w:sz w:val="24"/>
          <w:szCs w:val="24"/>
          <w:u w:color="auto" w:val="single"/>
        </w:rPr>
        <w:t>Оформление правоустанавливающих документов на земельные участки.</w:t>
      </w:r>
    </w:p>
    <w:p>
      <w:pPr>
        <w:ind w:firstLine="720"/>
        <w:spacing/>
        <w:contextualSpacing/>
        <w:jc w:val="both"/>
        <w:widowControl/>
        <w:rPr>
          <w:rFonts w:eastAsia="Calibri"/>
          <w:color w:val="000000"/>
          <w:sz w:val="24"/>
          <w:szCs w:val="24"/>
        </w:rPr>
      </w:pPr>
      <w:r>
        <w:rPr>
          <w:rFonts w:eastAsia="Calibri"/>
          <w:color w:val="000000"/>
          <w:sz w:val="24"/>
          <w:szCs w:val="24"/>
        </w:rPr>
        <w:t xml:space="preserve">С целью оформления правоустанавливающих документов на земельные участки за  9 месяцев 2025 года 114 участков оформлены гражданами в собственность бесплатно, заключено 76 договоров купли-продажи земельных участков, поступления по которым составили – 3098,06 тыс. руб. По состоянию на 01.10.2025 г. количество действующих договоров аренды составило – 6 891, за 9 месяцев 2025 года заключено 117 договоров аренды на земельные участки, которые ранее не предоставлялись, на сумму годовой арендной платы в размере – 7980,5 тыс. руб. </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Инвентаризация земельных участков и контроль за соблюдением земельного законодательства</w:t>
      </w:r>
    </w:p>
    <w:p>
      <w:pPr>
        <w:ind w:firstLine="708"/>
        <w:spacing/>
        <w:jc w:val="both"/>
        <w:rPr>
          <w:color w:val="000000"/>
          <w:sz w:val="24"/>
          <w:szCs w:val="24"/>
        </w:rPr>
      </w:pPr>
      <w:r>
        <w:rPr>
          <w:color w:val="000000"/>
          <w:sz w:val="24"/>
          <w:szCs w:val="24"/>
        </w:rPr>
        <w:t xml:space="preserve">За 9 месяцев 2025 года оформлено в аренду земельных участков, которые ранее не предоставлялись -8,22 га. </w:t>
      </w:r>
    </w:p>
    <w:p>
      <w:pPr>
        <w:ind w:firstLine="708"/>
        <w:spacing/>
        <w:jc w:val="both"/>
        <w:rPr>
          <w:color w:val="000000"/>
          <w:sz w:val="24"/>
          <w:szCs w:val="24"/>
        </w:rPr>
      </w:pPr>
      <w:r>
        <w:rPr>
          <w:color w:val="000000"/>
          <w:sz w:val="24"/>
          <w:szCs w:val="24"/>
        </w:rPr>
        <w:t>При выявление нецелевого использования земельных участков, или использования земельных участков без правовых документов, ведётся претензионно-исковая работа.</w:t>
      </w:r>
    </w:p>
    <w:p>
      <w:pPr>
        <w:spacing/>
        <w:contextualSpacing/>
        <w:jc w:val="center"/>
        <w:widowControl/>
        <w:rPr>
          <w:b/>
          <w:bCs/>
          <w:color w:val="000000"/>
          <w:sz w:val="24"/>
          <w:szCs w:val="24"/>
        </w:rPr>
      </w:pPr>
      <w:r>
        <w:rPr>
          <w:b/>
          <w:bCs/>
          <w:color w:val="000000"/>
          <w:sz w:val="24"/>
          <w:szCs w:val="24"/>
        </w:rPr>
      </w:r>
    </w:p>
    <w:p>
      <w:pPr>
        <w:spacing/>
        <w:contextualSpacing/>
        <w:jc w:val="center"/>
        <w:widowControl/>
        <w:rPr>
          <w:b/>
          <w:bCs/>
          <w:color w:val="000000"/>
          <w:sz w:val="24"/>
          <w:szCs w:val="24"/>
          <w:u w:color="auto" w:val="single"/>
        </w:rPr>
      </w:pPr>
      <w:r>
        <w:rPr>
          <w:b/>
          <w:bCs/>
          <w:color w:val="000000"/>
          <w:sz w:val="24"/>
          <w:szCs w:val="24"/>
          <w:u w:color="auto" w:val="single"/>
        </w:rPr>
        <w:t>Аренда земельных участков</w:t>
      </w:r>
    </w:p>
    <w:p>
      <w:pPr>
        <w:ind w:firstLine="708"/>
        <w:spacing/>
        <w:jc w:val="both"/>
        <w:rPr>
          <w:color w:val="000000"/>
          <w:sz w:val="24"/>
          <w:szCs w:val="24"/>
        </w:rPr>
      </w:pPr>
      <w:r>
        <w:rPr>
          <w:color w:val="000000"/>
          <w:sz w:val="24"/>
          <w:szCs w:val="24"/>
        </w:rPr>
        <w:t>За 9 месяцев 2025 г. неналоговые поступления за земельные участки составили 49896,40 тыс. рублей, в т.ч. пеня – 735,25 тыс. рублей.</w:t>
      </w:r>
    </w:p>
    <w:p>
      <w:pPr>
        <w:ind w:firstLine="708"/>
        <w:spacing/>
        <w:jc w:val="both"/>
        <w:rPr>
          <w:color w:val="000000"/>
          <w:sz w:val="24"/>
          <w:szCs w:val="24"/>
        </w:rPr>
      </w:pPr>
      <w:r>
        <w:rPr>
          <w:color w:val="000000"/>
          <w:sz w:val="24"/>
          <w:szCs w:val="24"/>
        </w:rPr>
        <w:t>В результате претензионно-исковой работы с неплательщиками арендной платы за занимаемые земельные участки КУМИ было предъявлено 26 претензий на общую сумму - 41,5 тыс. руб. В результате претензионно-исковой работы за 9 месяцев 2025 года поступило - 9,57 тыс. руб.</w:t>
      </w:r>
    </w:p>
    <w:p>
      <w:pPr>
        <w:ind w:firstLine="708"/>
        <w:spacing/>
        <w:jc w:val="both"/>
        <w:rPr>
          <w:color w:val="000000"/>
          <w:sz w:val="24"/>
          <w:szCs w:val="24"/>
        </w:rPr>
      </w:pPr>
      <w:r>
        <w:rPr>
          <w:color w:val="000000"/>
          <w:sz w:val="24"/>
          <w:szCs w:val="24"/>
        </w:rPr>
      </w:r>
    </w:p>
    <w:p>
      <w:pPr>
        <w:ind w:firstLine="708"/>
        <w:spacing/>
        <w:contextualSpacing/>
        <w:jc w:val="center"/>
        <w:widowControl/>
        <w:rPr>
          <w:b/>
          <w:bCs/>
          <w:color w:val="000000"/>
          <w:sz w:val="24"/>
          <w:szCs w:val="24"/>
          <w:u w:color="auto" w:val="single"/>
        </w:rPr>
      </w:pPr>
      <w:r>
        <w:rPr>
          <w:b/>
          <w:bCs/>
          <w:color w:val="000000"/>
          <w:sz w:val="24"/>
          <w:szCs w:val="24"/>
          <w:u w:color="auto" w:val="single"/>
        </w:rPr>
        <w:t>Продажа земельных участков</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9 месяцев 2025 г. Комитетом по управлению муниципальным имуществом администрации Анжеро-Судженского городского было заключено 76 договоров купли-продажи земельных участков, поступление от которых в доход местного бюджета составили 6098,06 тыс. руб.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t>8. ЖИЛИЩНО-КОММУНАЛЬНОЕ ХОЗЯЙСТВО</w:t>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r>
    </w:p>
    <w:p>
      <w:pPr>
        <w:ind w:firstLine="709"/>
        <w:spacing/>
        <w:contextualSpacing/>
        <w:jc w:val="both"/>
        <w:widowControl/>
        <w:tabs defTabSz="720">
          <w:tab w:val="left" w:pos="-57" w:leader="none"/>
        </w:tabs>
        <w:rPr>
          <w:color w:val="000000"/>
          <w:sz w:val="24"/>
          <w:szCs w:val="24"/>
        </w:rPr>
      </w:pPr>
      <w:r>
        <w:rPr>
          <w:color w:val="000000"/>
          <w:sz w:val="24"/>
          <w:szCs w:val="24"/>
        </w:rPr>
        <w:t>Основные направления работы предприятий жилищно-коммунального хозяйства в 2025 году определены муниципальными целевыми программами.</w:t>
      </w:r>
    </w:p>
    <w:p>
      <w:pPr>
        <w:ind w:firstLine="709"/>
        <w:spacing/>
        <w:contextualSpacing/>
        <w:jc w:val="both"/>
        <w:widowControl/>
        <w:tabs defTabSz="720">
          <w:tab w:val="left" w:pos="-57" w:leader="none"/>
        </w:tabs>
        <w:rPr>
          <w:color w:val="000000"/>
          <w:sz w:val="24"/>
          <w:szCs w:val="24"/>
        </w:rPr>
      </w:pPr>
      <w:r>
        <w:rPr>
          <w:color w:val="000000"/>
          <w:sz w:val="24"/>
          <w:szCs w:val="24"/>
        </w:rPr>
        <w:t xml:space="preserve">На реализацию мероприятий программы </w:t>
      </w:r>
      <w:r>
        <w:rPr>
          <w:b/>
          <w:bCs/>
          <w:i/>
          <w:iCs/>
          <w:color w:val="000000"/>
          <w:sz w:val="24"/>
          <w:szCs w:val="24"/>
        </w:rPr>
        <w:t>«Комплексные мероприятия по повышению энергоэффективности жилищно-коммунального хозяйства на территории Анжеро-Судженского городского округа»</w:t>
      </w:r>
      <w:r>
        <w:rPr>
          <w:color w:val="000000"/>
          <w:sz w:val="24"/>
          <w:szCs w:val="24"/>
        </w:rPr>
        <w:t xml:space="preserve"> </w:t>
      </w:r>
      <w:r>
        <w:rPr>
          <w:b/>
          <w:bCs/>
          <w:i/>
          <w:iCs/>
          <w:color w:val="000000"/>
          <w:sz w:val="24"/>
          <w:szCs w:val="24"/>
        </w:rPr>
        <w:t>на 2022-2027 годы»</w:t>
      </w:r>
      <w:r>
        <w:rPr>
          <w:color w:val="000000"/>
          <w:sz w:val="24"/>
          <w:szCs w:val="24"/>
        </w:rPr>
        <w:t xml:space="preserve"> 01.10.2025 направлено 458 495,8 тыс. руб., что составляет 87,0% от запланированного объема.</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Организациям, предоставляющим населению услуги по тарифам, не обеспечивающим возмещение издержек, возмещено на 01.10.2025 год 444 613,5 тыс. руб. выпадающих доходов.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По Муниципальной программе </w:t>
      </w:r>
      <w:r>
        <w:rPr>
          <w:b/>
          <w:bCs/>
          <w:i/>
          <w:iCs/>
          <w:color w:val="000000"/>
          <w:sz w:val="24"/>
          <w:szCs w:val="24"/>
        </w:rPr>
        <w:t>«Обеспечение доступным и комфортным жильём и коммунальными услугами»</w:t>
      </w:r>
      <w:r>
        <w:rPr>
          <w:color w:val="000000"/>
          <w:sz w:val="24"/>
          <w:szCs w:val="24"/>
        </w:rPr>
        <w:t xml:space="preserve"> на 2022-2027 годы произведена оплата за   ремонтные работы муниципального жилья на сумму 511,2 тыс. руб., на ремонт жилого фонда под повторное заселение.</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Муниципальная программа </w:t>
      </w:r>
      <w:r>
        <w:rPr>
          <w:b/>
          <w:bCs/>
          <w:i/>
          <w:iCs/>
          <w:color w:val="000000"/>
          <w:sz w:val="24"/>
          <w:szCs w:val="24"/>
        </w:rPr>
        <w:t>«Комплексного обеспечения качественного уровня благоустройства территории Анжеро-Судженского городского округа»</w:t>
      </w:r>
      <w:r>
        <w:rPr>
          <w:color w:val="000000"/>
          <w:sz w:val="24"/>
          <w:szCs w:val="24"/>
        </w:rPr>
        <w:t xml:space="preserve">.  По данной программе планом предусмотрено </w:t>
      </w:r>
      <w:r>
        <w:rPr>
          <w:bCs/>
          <w:color w:val="000000"/>
          <w:sz w:val="24"/>
          <w:szCs w:val="24"/>
        </w:rPr>
        <w:t>317 757,3</w:t>
      </w:r>
      <w:r>
        <w:rPr>
          <w:b/>
          <w:bCs/>
          <w:color w:val="000000"/>
          <w:sz w:val="24"/>
          <w:szCs w:val="24"/>
        </w:rPr>
        <w:t xml:space="preserve"> </w:t>
      </w:r>
      <w:r>
        <w:rPr>
          <w:color w:val="000000"/>
          <w:sz w:val="24"/>
          <w:szCs w:val="24"/>
        </w:rPr>
        <w:t xml:space="preserve">тыс. руб., освоено за 9 месяцев 2025 года 182 971,4 тыс. рублей или 57,6 %. По данной программе производилось: содержание дорог в зимний период, вывоз снега, вывоз мусора, промывка ливневой канализации, установлены дорожные знаки.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Общая протяжённость городских дорог составляет 490,109 км, в том числе: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-магистральных дорог - 131,6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-тротуары -35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-периферийные дороги - 358,5 км.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По результатам проведённых  аукционов   заключено 20 муниципальных контрактов на содержание магистральных дорог. На летнее содержание автомобильных дорог заключено 7 контрактов.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отчётный период при очистке дорог вывезено </w:t>
      </w:r>
      <w:r>
        <w:rPr>
          <w:b/>
          <w:color w:val="000000"/>
          <w:sz w:val="24"/>
          <w:szCs w:val="24"/>
        </w:rPr>
        <w:t>83 746</w:t>
      </w:r>
      <w:r>
        <w:rPr>
          <w:b/>
          <w:bCs/>
          <w:color w:val="000000"/>
          <w:sz w:val="24"/>
          <w:szCs w:val="24"/>
          <w:lang w:eastAsia="ru-ru"/>
        </w:rPr>
        <w:t xml:space="preserve"> м</w:t>
      </w:r>
      <w:r>
        <w:rPr>
          <w:b/>
          <w:bCs/>
          <w:color w:val="000000"/>
          <w:sz w:val="24"/>
          <w:szCs w:val="24"/>
          <w:vertAlign w:val="superscript"/>
          <w:lang w:eastAsia="ru-ru"/>
        </w:rPr>
        <w:t>3</w:t>
      </w:r>
      <w:r>
        <w:rPr>
          <w:color w:val="000000"/>
          <w:sz w:val="24"/>
          <w:szCs w:val="24"/>
        </w:rPr>
        <w:t xml:space="preserve"> снега. </w:t>
      </w:r>
    </w:p>
    <w:p>
      <w:pPr>
        <w:pStyle w:val="para115"/>
        <w:ind w:firstLine="709"/>
        <w:spacing/>
        <w:contextualSpacing/>
        <w:jc w:val="both"/>
        <w:widowControl/>
        <w:tabs defTabSz="708">
          <w:tab w:val="left" w:pos="708" w:leader="none"/>
          <w:tab w:val="left" w:pos="1900" w:leader="none"/>
        </w:tabs>
        <w:rPr>
          <w:color w:val="000000"/>
          <w:sz w:val="24"/>
          <w:szCs w:val="24"/>
        </w:rPr>
      </w:pPr>
      <w:r>
        <w:rPr>
          <w:color w:val="000000"/>
          <w:sz w:val="24"/>
          <w:szCs w:val="24"/>
        </w:rPr>
        <w:t>В течении 1 полугодия 2025 года промыто 256 основных труб на территории городского округа и</w:t>
      </w:r>
      <w:r>
        <w:rPr>
          <w:b/>
          <w:bCs/>
          <w:color w:val="000000"/>
          <w:sz w:val="24"/>
          <w:szCs w:val="24"/>
        </w:rPr>
        <w:t xml:space="preserve"> </w:t>
      </w:r>
      <w:r>
        <w:rPr>
          <w:color w:val="000000"/>
          <w:sz w:val="24"/>
          <w:szCs w:val="24"/>
        </w:rPr>
        <w:t>43</w:t>
      </w:r>
      <w:r>
        <w:rPr>
          <w:b/>
          <w:bCs/>
          <w:color w:val="000000"/>
          <w:sz w:val="24"/>
          <w:szCs w:val="24"/>
        </w:rPr>
        <w:t xml:space="preserve"> </w:t>
      </w:r>
      <w:r>
        <w:rPr>
          <w:color w:val="000000"/>
          <w:sz w:val="24"/>
          <w:szCs w:val="24"/>
        </w:rPr>
        <w:t>трубы в пгт Рудничный. Данные работы осуществлялись силами ООО БиО и МБУ "РЭС". </w:t>
      </w:r>
    </w:p>
    <w:p>
      <w:pPr>
        <w:pStyle w:val="para115"/>
        <w:ind w:firstLine="709"/>
        <w:spacing/>
        <w:contextualSpacing/>
        <w:jc w:val="both"/>
        <w:widowControl/>
        <w:tabs defTabSz="708">
          <w:tab w:val="left" w:pos="-57" w:leader="none"/>
          <w:tab w:val="left" w:pos="1900" w:leader="none"/>
        </w:tabs>
        <w:rPr>
          <w:b/>
          <w:bCs/>
          <w:color w:val="000000"/>
          <w:sz w:val="24"/>
          <w:szCs w:val="24"/>
        </w:rPr>
      </w:pPr>
      <w:r>
        <w:rPr>
          <w:color w:val="000000"/>
          <w:sz w:val="24"/>
          <w:szCs w:val="24"/>
        </w:rPr>
        <w:t xml:space="preserve">В течении отчётного периода осуществлялось содержание ливневых канализаций общей протяжённостью 6,9 км (130 ливневых решёток и колодцев). Очищено кюветов с вывозом снега </w:t>
      </w:r>
      <w:r>
        <w:rPr>
          <w:b/>
          <w:bCs/>
          <w:color w:val="000000"/>
          <w:sz w:val="24"/>
          <w:szCs w:val="24"/>
        </w:rPr>
        <w:t>- 2719 м</w:t>
      </w:r>
      <w:r>
        <w:rPr>
          <w:b/>
          <w:bCs/>
          <w:color w:val="000000"/>
          <w:sz w:val="24"/>
          <w:szCs w:val="24"/>
          <w:vertAlign w:val="superscript"/>
        </w:rPr>
        <w:t>3</w:t>
      </w:r>
      <w:r>
        <w:rPr>
          <w:color w:val="000000"/>
          <w:sz w:val="24"/>
          <w:szCs w:val="24"/>
        </w:rPr>
        <w:t xml:space="preserve"> (ул. Станционная, ул. Автомобилистов, ул. Мира, ул. Куйбышева, Курортная, ул. Матросова). Произведены работы по вскрытию кюветов вдоль магистральных и периферийных дорог - </w:t>
      </w:r>
      <w:r>
        <w:rPr>
          <w:b/>
          <w:color w:val="000000"/>
          <w:sz w:val="24"/>
          <w:szCs w:val="24"/>
        </w:rPr>
        <w:t>2850 м.</w:t>
      </w:r>
      <w:r>
        <w:rPr>
          <w:b/>
          <w:bCs/>
          <w:color w:val="000000"/>
          <w:sz w:val="24"/>
          <w:szCs w:val="24"/>
        </w:rPr>
        <w:t xml:space="preserve"> </w:t>
      </w:r>
      <w:r>
        <w:rPr>
          <w:b/>
          <w:bCs/>
          <w:color w:val="000000"/>
          <w:sz w:val="24"/>
          <w:szCs w:val="24"/>
        </w:rPr>
      </w:r>
    </w:p>
    <w:p>
      <w:pPr>
        <w:pStyle w:val="para115"/>
        <w:ind w:firstLine="709"/>
        <w:spacing/>
        <w:contextualSpacing/>
        <w:jc w:val="both"/>
        <w:widowControl/>
        <w:tabs defTabSz="708">
          <w:tab w:val="left" w:pos="-57" w:leader="none"/>
          <w:tab w:val="left" w:pos="1900" w:leader="none"/>
        </w:tabs>
        <w:rPr>
          <w:bCs/>
          <w:color w:val="000000"/>
          <w:sz w:val="24"/>
          <w:szCs w:val="24"/>
        </w:rPr>
      </w:pPr>
      <w:r>
        <w:rPr>
          <w:b/>
          <w:bCs/>
          <w:color w:val="000000"/>
          <w:sz w:val="24"/>
          <w:szCs w:val="24"/>
        </w:rPr>
        <w:t>Произведена установка и ремонт дорожных знаков -  282 шт.</w:t>
      </w:r>
      <w:r>
        <w:rPr>
          <w:bCs/>
          <w:color w:val="000000"/>
          <w:sz w:val="24"/>
          <w:szCs w:val="24"/>
        </w:rPr>
        <w:t xml:space="preserve"> (новых- 90 шт, ремонтных - 192 шт).</w:t>
      </w:r>
    </w:p>
    <w:p>
      <w:pPr>
        <w:pStyle w:val="para115"/>
        <w:ind w:firstLine="709"/>
        <w:spacing/>
        <w:contextualSpacing/>
        <w:jc w:val="both"/>
        <w:widowControl/>
        <w:tabs defTabSz="708">
          <w:tab w:val="left" w:pos="-57" w:leader="none"/>
          <w:tab w:val="left" w:pos="1900" w:leader="none"/>
        </w:tabs>
        <w:rPr>
          <w:color w:val="000000"/>
          <w:sz w:val="24"/>
          <w:szCs w:val="24"/>
        </w:rPr>
      </w:pPr>
      <w:r>
        <w:rPr>
          <w:color w:val="000000"/>
          <w:sz w:val="24"/>
          <w:szCs w:val="24"/>
        </w:rPr>
        <w:t>Так же осуществляется обслуживание</w:t>
      </w:r>
      <w:r>
        <w:rPr>
          <w:b/>
          <w:bCs/>
          <w:color w:val="000000"/>
          <w:sz w:val="24"/>
          <w:szCs w:val="24"/>
        </w:rPr>
        <w:t xml:space="preserve"> 176 остановочных павильонов </w:t>
      </w:r>
      <w:r>
        <w:rPr>
          <w:color w:val="000000"/>
          <w:sz w:val="24"/>
          <w:szCs w:val="24"/>
        </w:rPr>
        <w:t>в городском округе</w:t>
      </w:r>
      <w:r>
        <w:rPr>
          <w:b/>
          <w:bCs/>
          <w:color w:val="000000"/>
          <w:sz w:val="24"/>
          <w:szCs w:val="24"/>
        </w:rPr>
        <w:t xml:space="preserve"> и 10 остановочных павильонов </w:t>
      </w:r>
      <w:r>
        <w:rPr>
          <w:color w:val="000000"/>
          <w:sz w:val="24"/>
          <w:szCs w:val="24"/>
        </w:rPr>
        <w:t>в пгт. Рудничный.</w:t>
      </w:r>
    </w:p>
    <w:p>
      <w:pPr>
        <w:pStyle w:val="para115"/>
        <w:spacing/>
        <w:jc w:val="both"/>
        <w:tabs defTabSz="708">
          <w:tab w:val="left" w:pos="708" w:leader="none"/>
          <w:tab w:val="left" w:pos="1900" w:leader="none"/>
        </w:tabs>
        <w:rPr>
          <w:b/>
          <w:color w:val="000000"/>
          <w:sz w:val="24"/>
          <w:szCs w:val="24"/>
        </w:rPr>
      </w:pPr>
      <w:r>
        <w:rPr>
          <w:color w:val="000000"/>
          <w:sz w:val="24"/>
          <w:szCs w:val="24"/>
        </w:rPr>
        <w:tab/>
        <w:t>В летний период  установили  новых остановочных павильонов -7 шт, после ремонта -2 шт. Установили урн в остановочных павильонах -</w:t>
      </w:r>
      <w:r>
        <w:rPr>
          <w:b/>
          <w:color w:val="000000"/>
          <w:sz w:val="24"/>
          <w:szCs w:val="24"/>
        </w:rPr>
        <w:t>15 шт.</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8"/>
          <w:szCs w:val="28"/>
        </w:rPr>
        <w:tab/>
      </w:r>
      <w:r>
        <w:rPr>
          <w:color w:val="000000"/>
          <w:sz w:val="24"/>
          <w:szCs w:val="24"/>
        </w:rPr>
        <w:t xml:space="preserve">Ремонт дорог к садовым обществам-  </w:t>
      </w:r>
      <w:r>
        <w:rPr>
          <w:b/>
          <w:color w:val="000000"/>
          <w:sz w:val="24"/>
          <w:szCs w:val="24"/>
        </w:rPr>
        <w:t>13,5 км</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4"/>
          <w:szCs w:val="24"/>
        </w:rPr>
        <w:tab/>
        <w:t>Заключен контракт на аварийный ямочный ремонт к празднованию Дня Победы</w:t>
      </w:r>
      <w:r>
        <w:rPr>
          <w:b/>
          <w:color w:val="000000"/>
          <w:sz w:val="24"/>
          <w:szCs w:val="24"/>
        </w:rPr>
        <w:t>- 222 м2.</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4"/>
          <w:szCs w:val="24"/>
        </w:rPr>
        <w:tab/>
        <w:t>Устранение  пучин на а/дороге по ул.Матросова,</w:t>
      </w:r>
      <w:r>
        <w:rPr>
          <w:b/>
          <w:color w:val="000000"/>
          <w:sz w:val="24"/>
          <w:szCs w:val="24"/>
        </w:rPr>
        <w:t>121- 120м2.</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4"/>
          <w:szCs w:val="24"/>
        </w:rPr>
        <w:tab/>
        <w:t>Ямочный ремонт на мостовых сооружениях и путепроводах -</w:t>
      </w:r>
      <w:r>
        <w:rPr>
          <w:b/>
          <w:color w:val="000000"/>
          <w:sz w:val="24"/>
          <w:szCs w:val="24"/>
        </w:rPr>
        <w:t>247 м2.</w:t>
      </w:r>
      <w:r>
        <w:rPr>
          <w:b/>
          <w:color w:val="000000"/>
          <w:sz w:val="24"/>
          <w:szCs w:val="24"/>
        </w:rPr>
      </w:r>
    </w:p>
    <w:p>
      <w:pPr>
        <w:pStyle w:val="para115"/>
        <w:tabs defTabSz="708">
          <w:tab w:val="left" w:pos="708" w:leader="none"/>
          <w:tab w:val="left" w:pos="1900" w:leader="none"/>
        </w:tabs>
        <w:rPr>
          <w:color w:val="000000"/>
          <w:sz w:val="24"/>
          <w:szCs w:val="24"/>
        </w:rPr>
      </w:pPr>
      <w:r>
        <w:rPr>
          <w:color w:val="000000"/>
          <w:sz w:val="24"/>
          <w:szCs w:val="24"/>
        </w:rPr>
        <w:tab/>
        <w:t>Ямочный ремонт автомобильных дорог- 15210,6 м2;</w:t>
      </w:r>
    </w:p>
    <w:p>
      <w:pPr>
        <w:pStyle w:val="para115"/>
        <w:tabs defTabSz="708">
          <w:tab w:val="left" w:pos="708" w:leader="none"/>
          <w:tab w:val="left" w:pos="1900" w:leader="none"/>
        </w:tabs>
        <w:rPr>
          <w:b/>
          <w:color w:val="000000"/>
          <w:sz w:val="24"/>
          <w:szCs w:val="24"/>
        </w:rPr>
      </w:pPr>
      <w:r>
        <w:rPr>
          <w:color w:val="000000"/>
          <w:sz w:val="24"/>
          <w:szCs w:val="24"/>
        </w:rPr>
        <w:tab/>
        <w:t>Аварийный ямочный на автодорогах- 260 м2.</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4"/>
          <w:szCs w:val="24"/>
        </w:rPr>
        <w:tab/>
        <w:t xml:space="preserve">Ремонт автомобильной дороги ул.Водоканальная (участок от мясокомбината в сторону пос.Красная Звезда- </w:t>
      </w:r>
      <w:r>
        <w:rPr>
          <w:b/>
          <w:color w:val="000000"/>
          <w:sz w:val="24"/>
          <w:szCs w:val="24"/>
        </w:rPr>
        <w:t>2,3 км</w:t>
      </w:r>
      <w:r>
        <w:rPr>
          <w:b/>
          <w:color w:val="000000"/>
          <w:sz w:val="24"/>
          <w:szCs w:val="24"/>
        </w:rPr>
      </w:r>
    </w:p>
    <w:p>
      <w:pPr>
        <w:pStyle w:val="para115"/>
        <w:spacing/>
        <w:jc w:val="both"/>
        <w:tabs defTabSz="708">
          <w:tab w:val="left" w:pos="708" w:leader="none"/>
          <w:tab w:val="left" w:pos="1900" w:leader="none"/>
        </w:tabs>
        <w:rPr>
          <w:b/>
          <w:color w:val="000000"/>
          <w:sz w:val="24"/>
          <w:szCs w:val="24"/>
        </w:rPr>
      </w:pPr>
      <w:r>
        <w:rPr>
          <w:color w:val="000000"/>
          <w:sz w:val="24"/>
          <w:szCs w:val="24"/>
        </w:rPr>
        <w:tab/>
        <w:t xml:space="preserve">Текущий  ремонт грунтовых дорог - </w:t>
      </w:r>
      <w:r>
        <w:rPr>
          <w:b/>
          <w:color w:val="000000"/>
          <w:sz w:val="24"/>
          <w:szCs w:val="24"/>
        </w:rPr>
        <w:t xml:space="preserve">74,59 км, </w:t>
      </w:r>
      <w:r>
        <w:rPr>
          <w:color w:val="000000"/>
          <w:sz w:val="24"/>
          <w:szCs w:val="24"/>
        </w:rPr>
        <w:t xml:space="preserve">устранение провалов  и промоин на автодорогах и снятие аварийной ситуации на грунтовых дорогах - </w:t>
      </w:r>
      <w:r>
        <w:rPr>
          <w:b/>
          <w:color w:val="000000"/>
          <w:sz w:val="24"/>
          <w:szCs w:val="24"/>
        </w:rPr>
        <w:t>16 км.</w:t>
      </w:r>
      <w:r>
        <w:rPr>
          <w:b/>
          <w:color w:val="000000"/>
          <w:sz w:val="24"/>
          <w:szCs w:val="24"/>
        </w:rPr>
      </w:r>
    </w:p>
    <w:p>
      <w:pPr>
        <w:pStyle w:val="para115"/>
        <w:ind w:firstLine="709"/>
        <w:spacing/>
        <w:jc w:val="both"/>
        <w:tabs defTabSz="708">
          <w:tab w:val="left" w:pos="708" w:leader="none"/>
          <w:tab w:val="left" w:pos="1900" w:leader="none"/>
        </w:tabs>
        <w:rPr>
          <w:b/>
          <w:bCs/>
          <w:color w:val="000000"/>
          <w:sz w:val="24"/>
          <w:szCs w:val="24"/>
        </w:rPr>
      </w:pPr>
      <w:r>
        <w:rPr>
          <w:color w:val="000000"/>
          <w:sz w:val="24"/>
          <w:szCs w:val="24"/>
        </w:rPr>
        <w:t>На обслуживании   находится -</w:t>
      </w:r>
      <w:r>
        <w:rPr>
          <w:b/>
          <w:bCs/>
          <w:color w:val="000000"/>
          <w:sz w:val="24"/>
          <w:szCs w:val="24"/>
        </w:rPr>
        <w:t>2760</w:t>
      </w:r>
      <w:r>
        <w:rPr>
          <w:color w:val="000000"/>
          <w:sz w:val="24"/>
          <w:szCs w:val="24"/>
        </w:rPr>
        <w:t xml:space="preserve">   светильников, протяженность линий уличного освещения- </w:t>
      </w:r>
      <w:r>
        <w:rPr>
          <w:b/>
          <w:bCs/>
          <w:color w:val="000000"/>
          <w:sz w:val="24"/>
          <w:szCs w:val="24"/>
        </w:rPr>
        <w:t>110 км</w:t>
      </w:r>
      <w:r>
        <w:rPr>
          <w:color w:val="000000"/>
          <w:sz w:val="24"/>
          <w:szCs w:val="24"/>
        </w:rPr>
        <w:t>   в т.ч.  Рудничный район.  Заключены контракты с   подрядными организациями: МБУ  РЭС и    ИП Геворгян Н.А. Произведена правка опор уличного освещения и окрашивание,установка новых опор.</w:t>
      </w:r>
      <w:r>
        <w:rPr>
          <w:b/>
          <w:bCs/>
          <w:color w:val="000000"/>
          <w:sz w:val="24"/>
          <w:szCs w:val="24"/>
        </w:rPr>
        <w:t> </w:t>
      </w:r>
      <w:r>
        <w:rPr>
          <w:b/>
          <w:bCs/>
          <w:color w:val="000000"/>
          <w:sz w:val="24"/>
          <w:szCs w:val="24"/>
        </w:rPr>
      </w:r>
    </w:p>
    <w:p>
      <w:pPr>
        <w:ind w:firstLine="709"/>
        <w:spacing/>
        <w:jc w:val="both"/>
        <w:tabs defTabSz="708">
          <w:tab w:val="left" w:pos="1900" w:leader="none"/>
        </w:tabs>
        <w:rPr>
          <w:b/>
          <w:color w:val="000000"/>
          <w:sz w:val="24"/>
          <w:szCs w:val="24"/>
        </w:rPr>
      </w:pPr>
      <w:r>
        <w:rPr>
          <w:color w:val="000000"/>
          <w:sz w:val="24"/>
          <w:szCs w:val="24"/>
        </w:rPr>
        <w:t>За 9 месяцев 31 обращений от семей мобилизованных. Производились работы по вывозу снега  и  очистка прилегающей территории к жилым домам, ремонт грунтовых дорог, очистка водопропускных труб, укладка водопропускных труб  на сумму -</w:t>
      </w:r>
      <w:r>
        <w:rPr>
          <w:b/>
          <w:color w:val="000000"/>
          <w:sz w:val="24"/>
          <w:szCs w:val="24"/>
        </w:rPr>
        <w:t xml:space="preserve">  </w:t>
      </w:r>
      <w:r>
        <w:rPr>
          <w:b/>
          <w:color w:val="000000"/>
          <w:sz w:val="24"/>
          <w:szCs w:val="24"/>
        </w:rPr>
        <w:t>1027035,55</w:t>
      </w:r>
      <w:r>
        <w:rPr>
          <w:b/>
          <w:color w:val="000000"/>
          <w:sz w:val="24"/>
          <w:szCs w:val="24"/>
        </w:rPr>
        <w:t xml:space="preserve"> руб</w:t>
      </w:r>
      <w:r>
        <w:rPr>
          <w:b/>
          <w:color w:val="000000"/>
          <w:sz w:val="24"/>
          <w:szCs w:val="24"/>
        </w:rPr>
        <w:t>.</w:t>
      </w:r>
      <w:r>
        <w:rPr>
          <w:b/>
          <w:color w:val="000000"/>
          <w:sz w:val="24"/>
          <w:szCs w:val="24"/>
        </w:rPr>
      </w:r>
    </w:p>
    <w:p>
      <w:pPr>
        <w:pStyle w:val="para115"/>
        <w:ind w:firstLine="709"/>
        <w:spacing/>
        <w:jc w:val="both"/>
        <w:tabs defTabSz="708">
          <w:tab w:val="left" w:pos="708" w:leader="none"/>
          <w:tab w:val="left" w:pos="1900" w:leader="none"/>
        </w:tabs>
        <w:rPr>
          <w:color w:val="000000"/>
          <w:sz w:val="24"/>
          <w:szCs w:val="24"/>
        </w:rPr>
      </w:pPr>
      <w:r>
        <w:rPr>
          <w:color w:val="000000"/>
          <w:sz w:val="24"/>
          <w:szCs w:val="24"/>
        </w:rPr>
        <w:t xml:space="preserve"> </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 2025 году на реализацию мероприятий муниципальной программы </w:t>
      </w:r>
      <w:r>
        <w:rPr>
          <w:b/>
          <w:bCs/>
          <w:i/>
          <w:iCs/>
          <w:color w:val="000000"/>
          <w:sz w:val="24"/>
          <w:szCs w:val="24"/>
        </w:rPr>
        <w:t>«Формирование современной городской среды на территории Анжеро-Судженского городского округа»</w:t>
      </w:r>
      <w:r>
        <w:rPr>
          <w:color w:val="000000"/>
          <w:sz w:val="24"/>
          <w:szCs w:val="24"/>
        </w:rPr>
        <w:t xml:space="preserve"> на период 2022-2027гг. предусмотрено 1 483,5 тыс. руб. - на благоустройство общественных территорий. На 01.10.2025 финансирование составило 1 483,5 тыс. рублей.</w:t>
      </w:r>
    </w:p>
    <w:p>
      <w:pPr>
        <w:ind w:left="57"/>
        <w:spacing/>
        <w:contextualSpacing/>
        <w:jc w:val="both"/>
        <w:tabs defTabSz="708">
          <w:tab w:val="left" w:pos="1900" w:leader="none"/>
        </w:tabs>
        <w:rPr>
          <w:color w:val="000000"/>
          <w:sz w:val="24"/>
          <w:szCs w:val="24"/>
        </w:rPr>
      </w:pPr>
      <w:r>
        <w:rPr>
          <w:color w:val="000000"/>
          <w:sz w:val="24"/>
          <w:szCs w:val="24"/>
        </w:rPr>
        <w:t xml:space="preserve">       Выполнены работы по техническому учёту, диагностике и паспортизации автомобильных  дорог общего пользования  местного значения АСГО - 33 км.</w:t>
      </w:r>
    </w:p>
    <w:p>
      <w:pPr>
        <w:ind w:firstLine="635"/>
        <w:spacing/>
        <w:contextualSpacing/>
        <w:jc w:val="both"/>
        <w:tabs defTabSz="708">
          <w:tab w:val="left" w:pos="1900" w:leader="none"/>
        </w:tabs>
        <w:rPr>
          <w:color w:val="000000"/>
          <w:sz w:val="24"/>
          <w:szCs w:val="24"/>
        </w:rPr>
      </w:pPr>
      <w:r>
        <w:rPr>
          <w:b/>
          <w:bCs/>
          <w:color w:val="000000"/>
          <w:sz w:val="24"/>
          <w:szCs w:val="24"/>
        </w:rPr>
        <w:t>Городской парк по ул. С. Перовской (2 этап)</w:t>
      </w:r>
      <w:r>
        <w:rPr>
          <w:color w:val="000000"/>
          <w:sz w:val="24"/>
          <w:szCs w:val="24"/>
        </w:rPr>
        <w:t xml:space="preserve">  </w:t>
      </w:r>
    </w:p>
    <w:p>
      <w:pPr>
        <w:pStyle w:val="para91"/>
        <w:numPr>
          <w:ilvl w:val="0"/>
          <w:numId w:val="11"/>
        </w:numPr>
        <w:ind w:left="720" w:firstLine="635"/>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Устройство ворот, ограждения, перил;</w:t>
      </w:r>
    </w:p>
    <w:p>
      <w:pPr>
        <w:pStyle w:val="para91"/>
        <w:numPr>
          <w:ilvl w:val="0"/>
          <w:numId w:val="11"/>
        </w:numPr>
        <w:ind w:left="720" w:firstLine="635"/>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Установка МАФов (скамейки, урны и т.д.);</w:t>
      </w:r>
    </w:p>
    <w:p>
      <w:pPr>
        <w:pStyle w:val="para91"/>
        <w:numPr>
          <w:ilvl w:val="0"/>
          <w:numId w:val="11"/>
        </w:numPr>
        <w:ind w:left="720" w:firstLine="635"/>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Устройство сцены;</w:t>
      </w:r>
    </w:p>
    <w:p>
      <w:pPr>
        <w:pStyle w:val="para91"/>
        <w:numPr>
          <w:ilvl w:val="0"/>
          <w:numId w:val="11"/>
        </w:numPr>
        <w:ind w:left="720" w:firstLine="635"/>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Устройство детской и воркаут площадки.</w:t>
      </w:r>
    </w:p>
    <w:p>
      <w:pPr>
        <w:ind w:left="720"/>
        <w:contextualSpacing/>
        <w:rPr>
          <w:color w:val="000000"/>
          <w:sz w:val="24"/>
          <w:szCs w:val="24"/>
        </w:rPr>
      </w:pPr>
      <w:r>
        <w:rPr>
          <w:color w:val="000000"/>
          <w:sz w:val="24"/>
          <w:szCs w:val="24"/>
        </w:rPr>
        <w:t xml:space="preserve">Заключен на сумму 12 658 969,50 рублей. </w:t>
      </w:r>
    </w:p>
    <w:p>
      <w:pPr>
        <w:ind w:left="720" w:firstLine="635"/>
        <w:contextualSpacing/>
        <w:rPr>
          <w:color w:val="000000"/>
          <w:sz w:val="24"/>
          <w:szCs w:val="24"/>
        </w:rPr>
      </w:pPr>
      <w:r>
        <w:rPr>
          <w:color w:val="000000"/>
          <w:sz w:val="24"/>
          <w:szCs w:val="24"/>
        </w:rPr>
        <w:t>Срок выполнения работ с 21.03.2025 по 01.09.2025.</w:t>
      </w:r>
    </w:p>
    <w:p>
      <w:pPr>
        <w:ind w:firstLine="635"/>
        <w:spacing/>
        <w:contextualSpacing/>
        <w:jc w:val="both"/>
        <w:rPr>
          <w:color w:val="000000"/>
          <w:sz w:val="24"/>
          <w:szCs w:val="24"/>
        </w:rPr>
      </w:pPr>
      <w:r>
        <w:rPr>
          <w:color w:val="000000"/>
          <w:sz w:val="24"/>
          <w:szCs w:val="24"/>
        </w:rPr>
        <w:t>Однако подрядная организация направила в адрес заказчика МБУ «Управление жизнеобеспечения» письмо от 19.06.2025 № 19-П/25 о невозможности выполнения обязательств, предусмотренных муниципальным контрактом. Причина невыполнения работ подрядной организацией – сложности в сертификации игрового оборудования, длительный процесс оформления сертификатов, а также сложности в поставке комплектующих для производства малых архитектурных форм.</w:t>
      </w:r>
    </w:p>
    <w:p>
      <w:pPr>
        <w:ind w:firstLine="635"/>
        <w:spacing/>
        <w:contextualSpacing/>
        <w:jc w:val="both"/>
        <w:rPr>
          <w:color w:val="000000"/>
          <w:sz w:val="24"/>
          <w:szCs w:val="24"/>
        </w:rPr>
      </w:pPr>
      <w:r>
        <w:rPr>
          <w:color w:val="000000"/>
          <w:sz w:val="24"/>
          <w:szCs w:val="24"/>
        </w:rPr>
        <w:t xml:space="preserve">На основании вышеизложенного внесены изменения в соглашение (возврат денежных средств Областной и Федеральный бюджеты: 11 772 800 рублей). </w:t>
      </w:r>
    </w:p>
    <w:p>
      <w:pPr>
        <w:ind w:firstLine="635"/>
        <w:spacing/>
        <w:contextualSpacing/>
        <w:jc w:val="both"/>
        <w:rPr>
          <w:color w:val="000000"/>
          <w:sz w:val="24"/>
          <w:szCs w:val="24"/>
        </w:rPr>
      </w:pPr>
      <w:r>
        <w:rPr>
          <w:color w:val="000000"/>
          <w:sz w:val="24"/>
          <w:szCs w:val="24"/>
        </w:rPr>
        <w:t>В настоящее время в отношении подрядной организации ведётся претензионная работа. В дальнейшем к подрядчику будут применены штрафные санкции и проведена работа по внесению в реестр недобросовестных поставщиков.</w:t>
      </w:r>
    </w:p>
    <w:p>
      <w:pPr>
        <w:pStyle w:val="para91"/>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Сквер у Вокзала (паровоз)</w:t>
      </w:r>
      <w:r>
        <w:rPr>
          <w:rFonts w:ascii="Times New Roman" w:hAnsi="Times New Roman" w:cs="Times New Roman"/>
          <w:color w:val="000000"/>
          <w:sz w:val="24"/>
          <w:szCs w:val="24"/>
        </w:rPr>
        <w:t xml:space="preserve">  </w:t>
      </w:r>
    </w:p>
    <w:p>
      <w:pPr>
        <w:ind w:firstLine="635"/>
        <w:spacing/>
        <w:contextualSpacing/>
        <w:jc w:val="both"/>
        <w:rPr>
          <w:color w:val="000000"/>
          <w:sz w:val="24"/>
          <w:szCs w:val="24"/>
        </w:rPr>
      </w:pPr>
      <w:r>
        <w:rPr>
          <w:color w:val="000000"/>
          <w:sz w:val="24"/>
          <w:szCs w:val="24"/>
        </w:rPr>
        <w:t>Прямой договор заключен на сумму 596 013 рублей. Будет произведена установка 9 новых парковых диванов.</w:t>
      </w:r>
    </w:p>
    <w:p>
      <w:pPr>
        <w:ind w:firstLine="635"/>
        <w:spacing/>
        <w:contextualSpacing/>
        <w:jc w:val="both"/>
        <w:rPr>
          <w:color w:val="000000"/>
          <w:sz w:val="24"/>
          <w:szCs w:val="24"/>
        </w:rPr>
      </w:pPr>
      <w:r>
        <w:rPr>
          <w:color w:val="000000"/>
          <w:sz w:val="24"/>
          <w:szCs w:val="24"/>
        </w:rPr>
        <w:t>Прямой договор заключен на сумму 291 519 рублей. Будет произведена установка 9 новых урн.</w:t>
      </w:r>
    </w:p>
    <w:p>
      <w:pPr>
        <w:pStyle w:val="para91"/>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выполнены и оплачены.</w:t>
      </w:r>
    </w:p>
    <w:p>
      <w:pPr>
        <w:pStyle w:val="para91"/>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Бульвар Шахтеров (замена парковых диванов).</w:t>
      </w:r>
      <w:r>
        <w:rPr>
          <w:rFonts w:ascii="Times New Roman" w:hAnsi="Times New Roman" w:cs="Times New Roman"/>
          <w:color w:val="000000"/>
          <w:sz w:val="24"/>
          <w:szCs w:val="24"/>
        </w:rPr>
      </w:r>
    </w:p>
    <w:p>
      <w:pPr>
        <w:ind w:firstLine="635"/>
        <w:spacing/>
        <w:contextualSpacing/>
        <w:jc w:val="both"/>
        <w:rPr>
          <w:color w:val="000000"/>
          <w:sz w:val="24"/>
          <w:szCs w:val="24"/>
        </w:rPr>
      </w:pPr>
      <w:r>
        <w:rPr>
          <w:color w:val="000000"/>
        </w:rPr>
      </w:r>
      <w:bookmarkStart w:id="1" w:name="_Hlk195006453"/>
      <w:r>
        <w:rPr>
          <w:color w:val="000000"/>
        </w:rPr>
      </w:r>
      <w:r>
        <w:rPr>
          <w:color w:val="000000"/>
          <w:sz w:val="24"/>
          <w:szCs w:val="24"/>
        </w:rPr>
        <w:t xml:space="preserve">Прямой договор заключён на сумму 596 013 рублей. Будет произведена установка 9 новых парковых диванов. </w:t>
      </w:r>
      <w:r>
        <w:rPr>
          <w:color w:val="000000"/>
          <w:sz w:val="24"/>
          <w:szCs w:val="24"/>
        </w:rPr>
      </w:r>
    </w:p>
    <w:p>
      <w:pPr>
        <w:pStyle w:val="para91"/>
        <w:spacing w:after="0" w:line="240" w:lineRule="auto"/>
        <w:jc w:val="both"/>
        <w:rPr>
          <w:rFonts w:ascii="Times New Roman" w:hAnsi="Times New Roman" w:cs="Times New Roman"/>
          <w:color w:val="000000"/>
          <w:sz w:val="24"/>
          <w:szCs w:val="24"/>
        </w:rPr>
      </w:pPr>
      <w:r>
        <w:rPr>
          <w:color w:val="000000"/>
        </w:rPr>
      </w:r>
      <w:bookmarkEnd w:id="1"/>
      <w:r>
        <w:rPr>
          <w:color w:val="000000"/>
        </w:rPr>
      </w:r>
      <w:r>
        <w:rPr>
          <w:rFonts w:ascii="Times New Roman" w:hAnsi="Times New Roman" w:cs="Times New Roman"/>
          <w:color w:val="000000"/>
          <w:sz w:val="24"/>
          <w:szCs w:val="24"/>
        </w:rPr>
        <w:t>Работы выполнены и оплачены.</w:t>
      </w:r>
      <w:r>
        <w:rPr>
          <w:rFonts w:ascii="Times New Roman" w:hAnsi="Times New Roman" w:cs="Times New Roman"/>
          <w:color w:val="000000"/>
          <w:sz w:val="24"/>
          <w:szCs w:val="24"/>
        </w:rPr>
      </w:r>
    </w:p>
    <w:p>
      <w:pPr>
        <w:pStyle w:val="para91"/>
        <w:numPr>
          <w:ilvl w:val="0"/>
          <w:numId w:val="8"/>
        </w:numPr>
        <w:ind w:left="57" w:hanging="360"/>
        <w:spacing w:after="0" w:line="240" w:lineRule="auto"/>
        <w:jc w:val="both"/>
        <w:tabs defTabSz="720">
          <w:tab w:val="left" w:pos="8647" w:leader="none"/>
        </w:tabs>
        <w:rPr>
          <w:rFonts w:ascii="Times New Roman" w:hAnsi="Times New Roman" w:cs="Times New Roman"/>
          <w:b/>
          <w:color w:val="000000"/>
          <w:sz w:val="24"/>
          <w:szCs w:val="24"/>
        </w:rPr>
      </w:pPr>
      <w:r>
        <w:rPr>
          <w:rFonts w:ascii="Times New Roman" w:hAnsi="Times New Roman" w:cs="Times New Roman"/>
          <w:b/>
          <w:color w:val="000000"/>
          <w:sz w:val="24"/>
          <w:szCs w:val="24"/>
        </w:rPr>
      </w:r>
    </w:p>
    <w:p>
      <w:pPr>
        <w:ind w:left="-284" w:firstLine="993"/>
        <w:spacing/>
        <w:contextualSpacing/>
        <w:jc w:val="center"/>
        <w:widowControl/>
        <w:rPr>
          <w:b/>
          <w:bCs/>
          <w:color w:val="000000"/>
          <w:sz w:val="24"/>
          <w:szCs w:val="24"/>
        </w:rPr>
      </w:pPr>
      <w:r>
        <w:rPr>
          <w:b/>
          <w:color w:val="000000"/>
          <w:sz w:val="24"/>
          <w:szCs w:val="24"/>
        </w:rPr>
        <w:t>9.</w:t>
      </w:r>
      <w:r>
        <w:rPr>
          <w:b/>
          <w:bCs/>
          <w:color w:val="000000"/>
          <w:sz w:val="24"/>
          <w:szCs w:val="24"/>
        </w:rPr>
        <w:t xml:space="preserve"> ТРУД И ЗАНЯТОСТЬ </w:t>
      </w:r>
      <w:r>
        <w:rPr>
          <w:b/>
          <w:bCs/>
          <w:color w:val="000000"/>
          <w:sz w:val="24"/>
          <w:szCs w:val="24"/>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По итогам 1 полугодие 2025 года численность работников крупных и средних предприятий составила 13609 чел., что на 0,6% меньше аналогичного периода прошлого года.</w:t>
      </w:r>
    </w:p>
    <w:p>
      <w:pPr>
        <w:ind w:firstLine="697"/>
        <w:spacing w:before="120" w:after="120"/>
        <w:contextualSpacing/>
        <w:jc w:val="both"/>
        <w:rPr>
          <w:bCs/>
          <w:color w:val="000000"/>
          <w:sz w:val="24"/>
          <w:szCs w:val="24"/>
        </w:rPr>
      </w:pPr>
      <w:r>
        <w:rPr>
          <w:color w:val="000000"/>
          <w:sz w:val="24"/>
          <w:szCs w:val="24"/>
        </w:rPr>
        <w:t>За январь -сентябрь 2025 года в службу занятости за</w:t>
      </w:r>
      <w:r>
        <w:rPr>
          <w:i/>
          <w:color w:val="000000"/>
          <w:sz w:val="24"/>
          <w:szCs w:val="24"/>
        </w:rPr>
        <w:t xml:space="preserve"> </w:t>
      </w:r>
      <w:r>
        <w:rPr>
          <w:color w:val="000000"/>
          <w:sz w:val="24"/>
          <w:szCs w:val="24"/>
        </w:rPr>
        <w:t xml:space="preserve">получением мер государственной поддержки обратилось 3175 граждан, </w:t>
      </w:r>
      <w:r>
        <w:rPr>
          <w:bCs/>
          <w:color w:val="000000"/>
          <w:sz w:val="24"/>
          <w:szCs w:val="24"/>
        </w:rPr>
        <w:t xml:space="preserve">из них за содействием в поиске подходящей работы </w:t>
      </w:r>
      <w:r>
        <w:rPr>
          <w:bCs/>
          <w:color w:val="000000"/>
          <w:sz w:val="24"/>
          <w:szCs w:val="24"/>
        </w:rPr>
        <w:t>1037</w:t>
      </w:r>
      <w:r>
        <w:rPr>
          <w:bCs/>
          <w:color w:val="000000"/>
          <w:sz w:val="24"/>
          <w:szCs w:val="24"/>
        </w:rPr>
        <w:t xml:space="preserve">  чел</w:t>
      </w:r>
      <w:r>
        <w:rPr>
          <w:bCs/>
          <w:color w:val="000000"/>
          <w:sz w:val="24"/>
          <w:szCs w:val="24"/>
        </w:rPr>
        <w:t>.</w:t>
      </w:r>
      <w:r>
        <w:rPr>
          <w:bCs/>
          <w:color w:val="000000"/>
          <w:sz w:val="24"/>
          <w:szCs w:val="24"/>
        </w:rPr>
      </w:r>
    </w:p>
    <w:p>
      <w:pPr>
        <w:pStyle w:val="para25"/>
        <w:ind w:firstLine="709"/>
        <w:spacing w:before="120" w:after="120"/>
        <w:contextualSpacing/>
        <w:jc w:val="both"/>
        <w:rPr>
          <w:color w:val="000000"/>
          <w:sz w:val="24"/>
          <w:szCs w:val="24"/>
        </w:rPr>
      </w:pPr>
      <w:r>
        <w:rPr>
          <w:color w:val="000000"/>
          <w:sz w:val="24"/>
          <w:szCs w:val="24"/>
        </w:rPr>
        <w:t>По состоянию на 01.10.2025 г. на учёте в центре занятости состоит 247 чел., имеющих официальный статус безработного, что на 37,0% больше соответствующего периода 2024 года (180 чел.).</w:t>
      </w:r>
    </w:p>
    <w:p>
      <w:pPr>
        <w:pStyle w:val="para25"/>
        <w:ind w:firstLine="700"/>
        <w:spacing w:before="120" w:after="120"/>
        <w:contextualSpacing/>
        <w:jc w:val="both"/>
        <w:rPr>
          <w:color w:val="000000"/>
          <w:sz w:val="24"/>
          <w:szCs w:val="24"/>
        </w:rPr>
      </w:pPr>
      <w:r>
        <w:rPr>
          <w:color w:val="000000"/>
          <w:sz w:val="24"/>
          <w:szCs w:val="24"/>
        </w:rPr>
        <w:t>Уровень  официально зарегистрированной безработицы составляет 0,6% к численности населения в трудоспособном возрасте (38736  чел.).</w:t>
      </w:r>
    </w:p>
    <w:p>
      <w:pPr>
        <w:ind w:firstLine="709"/>
        <w:spacing w:before="120" w:after="120"/>
        <w:contextualSpacing/>
        <w:jc w:val="both"/>
        <w:rPr>
          <w:color w:val="000000"/>
          <w:sz w:val="24"/>
          <w:szCs w:val="24"/>
        </w:rPr>
      </w:pPr>
      <w:r>
        <w:rPr>
          <w:color w:val="000000"/>
          <w:sz w:val="24"/>
          <w:szCs w:val="24"/>
        </w:rPr>
        <w:t xml:space="preserve">По состоянию на отчётную дату в банке вакансий службы занятости населения заявлено работодателями 1050 ед. свободных рабочих мест (вакантных должностей), что почти в 2,1 раза меньше, чем год назад (2024 г. – 2171 ед.). Заявленная в службу занятости потребность в работниках представлена преимущественно рабочими профессиями – 81,2%.  </w:t>
      </w:r>
    </w:p>
    <w:p>
      <w:pPr>
        <w:ind w:firstLine="709"/>
        <w:spacing w:before="120" w:after="120"/>
        <w:contextualSpacing/>
        <w:jc w:val="both"/>
        <w:rPr>
          <w:color w:val="000000"/>
          <w:sz w:val="24"/>
          <w:szCs w:val="24"/>
        </w:rPr>
      </w:pPr>
      <w:r>
        <w:rPr>
          <w:color w:val="000000"/>
          <w:sz w:val="24"/>
          <w:szCs w:val="24"/>
        </w:rPr>
        <w:t>Коэффициент напряжённости на рынке труда составляет 0,4 гражданина, ищущего работу, на каждую заявленную вакансию без учёта профессионально -квалификационной структуры (2024 г. – 0,1 гражданина), или на одного гражданина, состоящего на учёте в службе занятости приходится 2,5 вакансий.</w:t>
      </w:r>
    </w:p>
    <w:p>
      <w:pPr>
        <w:ind w:firstLine="709"/>
        <w:spacing w:before="120" w:after="120"/>
        <w:contextualSpacing/>
        <w:jc w:val="both"/>
        <w:rPr>
          <w:color w:val="000000"/>
          <w:sz w:val="24"/>
          <w:szCs w:val="24"/>
        </w:rPr>
      </w:pPr>
      <w:r>
        <w:rPr>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rPr>
      </w:pPr>
      <w:r>
        <w:rPr>
          <w:b/>
          <w:color w:val="000000"/>
          <w:sz w:val="24"/>
          <w:szCs w:val="24"/>
        </w:rPr>
        <w:t>10. ДОХОДЫ НАСЕЛЕНИЯ</w:t>
      </w:r>
      <w:r>
        <w:rPr>
          <w:color w:val="000000"/>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Среднемесячная заработная плата работающих по муниципальному образованию за  1 полугодие 2025 год по крупным и средним предприятиям увеличилась по сравнению с аналогичным периодом предыдущего года на 10,4 % и составила 68 945 руб. Реальный размер среднемесячной заработной платы сложился на уровне 100,1%.</w:t>
      </w:r>
    </w:p>
    <w:p>
      <w:pPr>
        <w:ind w:firstLine="709"/>
        <w:spacing/>
        <w:contextualSpacing/>
        <w:jc w:val="both"/>
        <w:widowControl/>
        <w:rPr>
          <w:color w:val="000000"/>
          <w:sz w:val="24"/>
          <w:szCs w:val="24"/>
        </w:rPr>
      </w:pPr>
      <w:r>
        <w:rPr>
          <w:color w:val="000000"/>
          <w:sz w:val="24"/>
          <w:szCs w:val="24"/>
        </w:rPr>
        <w:t xml:space="preserve">Средний размер назначенных пенсий, по итогам 1 полугодия 2025 года составил 22 875,49 рублей. </w:t>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color w:val="000000"/>
          <w:sz w:val="24"/>
          <w:szCs w:val="24"/>
        </w:rPr>
      </w:pPr>
      <w:r>
        <w:rPr>
          <w:b/>
          <w:highlight w:val="yellow"/>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 xml:space="preserve">11. ПОТРЕБИТЕЛЬСКИЙ РЫНОК </w:t>
      </w:r>
    </w:p>
    <w:p>
      <w:pPr>
        <w:ind w:firstLine="709"/>
        <w:spacing/>
        <w:contextualSpacing/>
        <w:jc w:val="both"/>
        <w:widowControl/>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Представляю  анализ  работы за 9 месяцев  2025  года  в сфере потребительского рынка  городского округа.</w:t>
      </w:r>
    </w:p>
    <w:p>
      <w:pPr>
        <w:ind w:firstLine="709"/>
        <w:spacing/>
        <w:contextualSpacing/>
        <w:jc w:val="both"/>
        <w:rPr>
          <w:color w:val="000000"/>
          <w:sz w:val="24"/>
          <w:szCs w:val="24"/>
        </w:rPr>
      </w:pPr>
      <w:r>
        <w:rPr>
          <w:color w:val="000000"/>
          <w:sz w:val="24"/>
          <w:szCs w:val="24"/>
        </w:rPr>
        <w:t xml:space="preserve">        За 9 месяцев введено в действие 15 объектов:</w:t>
      </w:r>
    </w:p>
    <w:p>
      <w:pPr>
        <w:ind w:firstLine="709"/>
        <w:spacing/>
        <w:contextualSpacing/>
        <w:jc w:val="both"/>
        <w:rPr>
          <w:color w:val="000000"/>
          <w:sz w:val="24"/>
          <w:szCs w:val="24"/>
        </w:rPr>
      </w:pPr>
      <w:r>
        <w:rPr>
          <w:color w:val="000000"/>
          <w:sz w:val="24"/>
          <w:szCs w:val="24"/>
        </w:rPr>
        <w:t xml:space="preserve">     - магазин «Красное&amp;Белое» по ул.Ватутина, 25 общей площадью 76,7 кв.м.;</w:t>
      </w:r>
    </w:p>
    <w:p>
      <w:pPr>
        <w:ind w:firstLine="709"/>
        <w:spacing/>
        <w:contextualSpacing/>
        <w:jc w:val="both"/>
        <w:rPr>
          <w:color w:val="000000"/>
          <w:sz w:val="24"/>
          <w:szCs w:val="24"/>
        </w:rPr>
      </w:pPr>
      <w:r>
        <w:rPr>
          <w:color w:val="000000"/>
          <w:sz w:val="24"/>
          <w:szCs w:val="24"/>
        </w:rPr>
        <w:t xml:space="preserve">     - магазин «Монетка» по пер.Электрический,3, общей площадью 350,0 кв.м.;</w:t>
      </w:r>
    </w:p>
    <w:p>
      <w:pPr>
        <w:ind w:firstLine="709"/>
        <w:spacing/>
        <w:contextualSpacing/>
        <w:jc w:val="both"/>
        <w:rPr>
          <w:color w:val="000000"/>
          <w:sz w:val="24"/>
          <w:szCs w:val="24"/>
        </w:rPr>
      </w:pPr>
      <w:r>
        <w:rPr>
          <w:color w:val="000000"/>
          <w:sz w:val="24"/>
          <w:szCs w:val="24"/>
        </w:rPr>
        <w:t xml:space="preserve">     - магазин «Баварский дворик» по пер.Электрический,3 общей площадью 51,0 кв.м.;</w:t>
      </w:r>
    </w:p>
    <w:p>
      <w:pPr>
        <w:ind w:firstLine="709"/>
        <w:spacing/>
        <w:contextualSpacing/>
        <w:jc w:val="both"/>
        <w:rPr>
          <w:color w:val="000000"/>
          <w:sz w:val="24"/>
          <w:szCs w:val="24"/>
        </w:rPr>
      </w:pPr>
      <w:r>
        <w:rPr>
          <w:color w:val="000000"/>
          <w:sz w:val="24"/>
          <w:szCs w:val="24"/>
        </w:rPr>
        <w:t xml:space="preserve">     - салон цветов «MeryDit» по ул.Желябова,3 общей площадью 50,0 кв.м.;</w:t>
      </w:r>
    </w:p>
    <w:p>
      <w:pPr>
        <w:ind w:firstLine="709"/>
        <w:spacing/>
        <w:contextualSpacing/>
        <w:jc w:val="both"/>
        <w:rPr>
          <w:color w:val="000000"/>
          <w:sz w:val="24"/>
          <w:szCs w:val="24"/>
        </w:rPr>
      </w:pPr>
      <w:r>
        <w:rPr>
          <w:color w:val="000000"/>
          <w:sz w:val="24"/>
          <w:szCs w:val="24"/>
        </w:rPr>
        <w:t xml:space="preserve">     - аптека «Апрель» в ТЦ «Олимп» по адресу: ул.М.Горького,47;</w:t>
      </w:r>
    </w:p>
    <w:p>
      <w:pPr>
        <w:ind w:firstLine="709"/>
        <w:spacing/>
        <w:contextualSpacing/>
        <w:jc w:val="both"/>
        <w:rPr>
          <w:color w:val="000000"/>
          <w:sz w:val="24"/>
          <w:szCs w:val="24"/>
        </w:rPr>
      </w:pPr>
      <w:r>
        <w:rPr>
          <w:color w:val="000000"/>
          <w:sz w:val="24"/>
          <w:szCs w:val="24"/>
        </w:rPr>
        <w:t xml:space="preserve">     - магазин «Фикс-прайс» в ТЦ по ул.Магистральная,34/1;</w:t>
      </w:r>
    </w:p>
    <w:p>
      <w:pPr>
        <w:ind w:firstLine="709"/>
        <w:spacing/>
        <w:contextualSpacing/>
        <w:jc w:val="both"/>
        <w:rPr>
          <w:color w:val="000000"/>
          <w:sz w:val="24"/>
          <w:szCs w:val="24"/>
        </w:rPr>
      </w:pPr>
      <w:r>
        <w:rPr>
          <w:color w:val="000000"/>
          <w:sz w:val="24"/>
          <w:szCs w:val="24"/>
        </w:rPr>
        <w:t xml:space="preserve">     - аптека «Фармакопейка» по ул.Желябова,6А общей площадью 61,0 кв.м.;</w:t>
      </w:r>
    </w:p>
    <w:p>
      <w:pPr>
        <w:ind w:firstLine="709"/>
        <w:spacing/>
        <w:contextualSpacing/>
        <w:jc w:val="both"/>
        <w:rPr>
          <w:color w:val="000000"/>
          <w:sz w:val="24"/>
          <w:szCs w:val="24"/>
        </w:rPr>
      </w:pPr>
      <w:r>
        <w:rPr>
          <w:color w:val="000000"/>
          <w:sz w:val="24"/>
          <w:szCs w:val="24"/>
        </w:rPr>
        <w:t xml:space="preserve">     - магазин-студия флористики «Ирис» по ул.Ленина,22 общей площадью 60,0 кв.м.;</w:t>
      </w:r>
    </w:p>
    <w:p>
      <w:pPr>
        <w:ind w:firstLine="709"/>
        <w:spacing/>
        <w:contextualSpacing/>
        <w:jc w:val="both"/>
        <w:rPr>
          <w:color w:val="000000"/>
          <w:sz w:val="24"/>
          <w:szCs w:val="24"/>
        </w:rPr>
      </w:pPr>
      <w:r>
        <w:rPr>
          <w:color w:val="000000"/>
          <w:sz w:val="24"/>
          <w:szCs w:val="24"/>
        </w:rPr>
        <w:t xml:space="preserve">     - аптека «Живика» в ТЦ «Искра» по ул.М.Горького,43;</w:t>
      </w:r>
    </w:p>
    <w:p>
      <w:pPr>
        <w:ind w:firstLine="709"/>
        <w:spacing/>
        <w:contextualSpacing/>
        <w:jc w:val="both"/>
        <w:rPr>
          <w:color w:val="000000"/>
          <w:sz w:val="24"/>
          <w:szCs w:val="24"/>
        </w:rPr>
      </w:pPr>
      <w:r>
        <w:rPr>
          <w:color w:val="000000"/>
          <w:sz w:val="24"/>
          <w:szCs w:val="24"/>
        </w:rPr>
        <w:t xml:space="preserve">     -магазин «Мария-Ра» по адресу:ул.Сосновая,19а общей площадью 324,6 кв.м.</w:t>
      </w:r>
    </w:p>
    <w:p>
      <w:pPr>
        <w:ind w:firstLine="709"/>
        <w:spacing/>
        <w:contextualSpacing/>
        <w:jc w:val="both"/>
        <w:rPr>
          <w:color w:val="000000"/>
          <w:sz w:val="24"/>
          <w:szCs w:val="24"/>
        </w:rPr>
      </w:pPr>
      <w:r>
        <w:rPr>
          <w:color w:val="000000"/>
          <w:sz w:val="24"/>
          <w:szCs w:val="24"/>
        </w:rPr>
        <w:t xml:space="preserve">     -кафе «Азия»по ул.Ленина,13Б площадью 30 кв.м;</w:t>
      </w:r>
    </w:p>
    <w:p>
      <w:pPr>
        <w:ind w:firstLine="709"/>
        <w:spacing/>
        <w:contextualSpacing/>
        <w:jc w:val="both"/>
        <w:rPr>
          <w:color w:val="000000"/>
          <w:sz w:val="24"/>
          <w:szCs w:val="24"/>
        </w:rPr>
      </w:pPr>
      <w:r>
        <w:rPr>
          <w:color w:val="000000"/>
          <w:sz w:val="24"/>
          <w:szCs w:val="24"/>
        </w:rPr>
        <w:t xml:space="preserve">     - отдел «Ермолино» в ТЦ «Олимп» по ул.М.Горького,47</w:t>
      </w:r>
    </w:p>
    <w:p>
      <w:pPr>
        <w:ind w:firstLine="709"/>
        <w:spacing/>
        <w:contextualSpacing/>
        <w:jc w:val="both"/>
        <w:rPr>
          <w:color w:val="000000"/>
          <w:sz w:val="24"/>
          <w:szCs w:val="24"/>
        </w:rPr>
      </w:pPr>
      <w:r>
        <w:rPr>
          <w:color w:val="000000"/>
          <w:sz w:val="24"/>
          <w:szCs w:val="24"/>
        </w:rPr>
        <w:t xml:space="preserve">     -пиццерия «ДодоПицца»в ТЦ «Сибирский городок» по адресу: ул.Ленина,13Б;</w:t>
      </w:r>
    </w:p>
    <w:p>
      <w:pPr>
        <w:ind w:firstLine="709"/>
        <w:spacing/>
        <w:contextualSpacing/>
        <w:jc w:val="both"/>
        <w:rPr>
          <w:color w:val="000000"/>
          <w:sz w:val="24"/>
          <w:szCs w:val="24"/>
        </w:rPr>
      </w:pPr>
      <w:r>
        <w:rPr>
          <w:color w:val="000000"/>
          <w:sz w:val="24"/>
          <w:szCs w:val="24"/>
        </w:rPr>
        <w:t xml:space="preserve">  -отдел « Курочка-Булочка»в ТЦ «Сибирский городок» по адресу: ул.Ленина,13Б;</w:t>
      </w:r>
    </w:p>
    <w:p>
      <w:pPr>
        <w:ind w:firstLine="709"/>
        <w:spacing/>
        <w:contextualSpacing/>
        <w:jc w:val="both"/>
        <w:rPr>
          <w:color w:val="000000"/>
          <w:sz w:val="24"/>
          <w:szCs w:val="24"/>
        </w:rPr>
      </w:pPr>
      <w:r>
        <w:rPr>
          <w:color w:val="000000"/>
          <w:sz w:val="24"/>
          <w:szCs w:val="24"/>
        </w:rPr>
        <w:t xml:space="preserve">     -павильон «Китайские продукты» по адресу: ул.Ленина,13А площадью 60 кв.м.</w:t>
      </w:r>
    </w:p>
    <w:p>
      <w:pPr>
        <w:ind w:firstLine="709"/>
        <w:spacing/>
        <w:contextualSpacing/>
        <w:jc w:val="both"/>
        <w:rPr>
          <w:color w:val="000000"/>
          <w:sz w:val="24"/>
          <w:szCs w:val="24"/>
        </w:rPr>
      </w:pPr>
      <w:r>
        <w:rPr>
          <w:color w:val="000000"/>
          <w:sz w:val="24"/>
          <w:szCs w:val="24"/>
        </w:rPr>
        <w:t xml:space="preserve">        Площадь введенных объектов-1063,3 кв.м.</w:t>
      </w:r>
    </w:p>
    <w:p>
      <w:pPr>
        <w:ind w:firstLine="709"/>
        <w:spacing/>
        <w:contextualSpacing/>
        <w:jc w:val="both"/>
        <w:rPr>
          <w:color w:val="000000"/>
          <w:sz w:val="24"/>
          <w:szCs w:val="24"/>
        </w:rPr>
      </w:pPr>
      <w:r>
        <w:rPr>
          <w:color w:val="000000"/>
          <w:sz w:val="24"/>
          <w:szCs w:val="24"/>
        </w:rPr>
        <w:t xml:space="preserve">        </w:t>
      </w:r>
    </w:p>
    <w:p>
      <w:pPr>
        <w:ind w:firstLine="709"/>
        <w:contextualSpacing/>
        <w:rPr>
          <w:color w:val="000000"/>
          <w:sz w:val="24"/>
          <w:szCs w:val="24"/>
        </w:rPr>
      </w:pPr>
      <w:r>
        <w:rPr>
          <w:color w:val="000000"/>
          <w:sz w:val="24"/>
          <w:szCs w:val="24"/>
        </w:rPr>
        <w:t xml:space="preserve">        За 9 месяцев  2025 г. реорганизовано 7 объектов торговли:</w:t>
      </w:r>
    </w:p>
    <w:p>
      <w:pPr>
        <w:ind w:firstLine="709"/>
        <w:contextualSpacing/>
        <w:rPr>
          <w:color w:val="000000"/>
          <w:sz w:val="24"/>
          <w:szCs w:val="24"/>
        </w:rPr>
      </w:pPr>
      <w:r>
        <w:rPr>
          <w:color w:val="000000"/>
          <w:sz w:val="24"/>
          <w:szCs w:val="24"/>
        </w:rPr>
        <w:t xml:space="preserve">      - магазин «Монетка» по ул.Пушкина,5</w:t>
      </w:r>
    </w:p>
    <w:p>
      <w:pPr>
        <w:ind w:firstLine="709"/>
        <w:contextualSpacing/>
        <w:rPr>
          <w:color w:val="000000"/>
          <w:sz w:val="24"/>
          <w:szCs w:val="24"/>
        </w:rPr>
      </w:pPr>
      <w:r>
        <w:rPr>
          <w:color w:val="000000"/>
          <w:sz w:val="24"/>
          <w:szCs w:val="24"/>
        </w:rPr>
        <w:t xml:space="preserve">      - магазин «Красное&amp;Белое» по ул.С.Перовской,3</w:t>
      </w:r>
    </w:p>
    <w:p>
      <w:pPr>
        <w:ind w:firstLine="709"/>
        <w:contextualSpacing/>
        <w:rPr>
          <w:color w:val="000000"/>
          <w:sz w:val="24"/>
          <w:szCs w:val="24"/>
        </w:rPr>
      </w:pPr>
      <w:r>
        <w:rPr>
          <w:color w:val="000000"/>
          <w:sz w:val="24"/>
          <w:szCs w:val="24"/>
        </w:rPr>
        <w:t xml:space="preserve">      - магазин «Магнит» в пгт.Рудничный,ул.Советская,4а.</w:t>
      </w:r>
    </w:p>
    <w:p>
      <w:pPr>
        <w:ind w:firstLine="709"/>
        <w:contextualSpacing/>
        <w:rPr>
          <w:color w:val="000000"/>
          <w:sz w:val="24"/>
          <w:szCs w:val="24"/>
        </w:rPr>
      </w:pPr>
      <w:r>
        <w:rPr>
          <w:color w:val="000000"/>
          <w:sz w:val="24"/>
          <w:szCs w:val="24"/>
        </w:rPr>
        <w:t xml:space="preserve">      - магазин «Фикс-прайс» по адресу: ул.М.Горького,21</w:t>
      </w:r>
    </w:p>
    <w:p>
      <w:pPr>
        <w:ind w:firstLine="709"/>
        <w:contextualSpacing/>
        <w:rPr>
          <w:color w:val="000000"/>
          <w:sz w:val="24"/>
          <w:szCs w:val="24"/>
        </w:rPr>
      </w:pPr>
      <w:r>
        <w:rPr>
          <w:color w:val="000000"/>
          <w:sz w:val="24"/>
          <w:szCs w:val="24"/>
        </w:rPr>
        <w:t xml:space="preserve">      - магазин «Цветик-опт» по адресу: ул.Ленина,30</w:t>
      </w:r>
    </w:p>
    <w:p>
      <w:pPr>
        <w:ind w:firstLine="709"/>
        <w:contextualSpacing/>
        <w:rPr>
          <w:color w:val="000000"/>
          <w:sz w:val="24"/>
          <w:szCs w:val="24"/>
        </w:rPr>
      </w:pPr>
      <w:r>
        <w:rPr>
          <w:color w:val="000000"/>
          <w:sz w:val="24"/>
          <w:szCs w:val="24"/>
        </w:rPr>
        <w:t xml:space="preserve">      - павильон «Причал» по ул.Мира,15А</w:t>
      </w:r>
    </w:p>
    <w:p>
      <w:pPr>
        <w:ind w:firstLine="709"/>
        <w:contextualSpacing/>
        <w:rPr>
          <w:color w:val="000000"/>
          <w:sz w:val="24"/>
          <w:szCs w:val="24"/>
        </w:rPr>
      </w:pPr>
      <w:r>
        <w:rPr>
          <w:color w:val="000000"/>
          <w:sz w:val="24"/>
          <w:szCs w:val="24"/>
        </w:rPr>
        <w:t xml:space="preserve">      - магазин «Пятерочка» в ТЦ «Водолей» по адресу: ул.С.Перовской,32</w:t>
      </w:r>
    </w:p>
    <w:p>
      <w:pPr>
        <w:ind w:firstLine="709"/>
        <w:contextualSpacing/>
        <w:rPr>
          <w:color w:val="000000"/>
          <w:sz w:val="24"/>
          <w:szCs w:val="24"/>
        </w:rPr>
      </w:pPr>
      <w:r>
        <w:rPr>
          <w:color w:val="000000"/>
          <w:sz w:val="24"/>
          <w:szCs w:val="24"/>
        </w:rPr>
        <w:t xml:space="preserve">      </w:t>
      </w:r>
    </w:p>
    <w:p>
      <w:pPr>
        <w:ind w:firstLine="709"/>
        <w:contextualSpacing/>
        <w:rPr>
          <w:color w:val="000000"/>
          <w:sz w:val="24"/>
          <w:szCs w:val="24"/>
        </w:rPr>
      </w:pPr>
      <w:r>
        <w:rPr>
          <w:color w:val="000000"/>
          <w:sz w:val="24"/>
          <w:szCs w:val="24"/>
        </w:rPr>
        <w:t xml:space="preserve">      В сфере торговли создано 78 рабочих места.</w:t>
      </w:r>
    </w:p>
    <w:p>
      <w:pPr>
        <w:ind w:firstLine="709"/>
        <w:spacing/>
        <w:contextualSpacing/>
        <w:jc w:val="both"/>
        <w:widowControl/>
        <w:rPr>
          <w:color w:val="000000"/>
          <w:sz w:val="24"/>
          <w:szCs w:val="24"/>
        </w:rPr>
      </w:pP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rPr>
      </w:r>
      <w:bookmarkStart w:id="2" w:name="_Hlk68701145"/>
      <w:r>
        <w:rPr>
          <w:color w:val="000000"/>
        </w:rPr>
      </w:r>
      <w:r>
        <w:rPr>
          <w:color w:val="000000"/>
          <w:sz w:val="24"/>
          <w:szCs w:val="24"/>
        </w:rPr>
        <w:t>О</w:t>
      </w:r>
      <w:r>
        <w:rPr>
          <w:color w:val="000000"/>
          <w:sz w:val="24"/>
          <w:szCs w:val="24"/>
        </w:rPr>
        <w:t>борот розничной торговли за 8 месяцев 2025 года увеличился по сравнению с аналогичным периодом 2024 года на 10%. Населению реализовано товаров на 10,5 млн. руб.</w:t>
      </w: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Объем платных услуг населению по крупным и средним организациям за 8 месяцев 2025 года увеличился на 13,2%. Объем оказанных населению услуг сложился на уровне 3,2 млрд руб.</w:t>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spacing w:val="-3" w:percent="97"/>
          <w:sz w:val="24"/>
          <w:szCs w:val="24"/>
        </w:rPr>
        <w:t>В заведениях общественного питания за 7 месяцев 2025 года населению были оказаны услуги на 0,3 млрд рублей, что на 28,6% больше чем за аналогичный период 2024 года.</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rPr>
      </w:r>
      <w:bookmarkEnd w:id="2"/>
      <w:r>
        <w:rPr>
          <w:color w:val="000000"/>
        </w:rPr>
      </w:r>
      <w:r>
        <w:rPr>
          <w:color w:val="000000"/>
          <w:spacing w:val="-3" w:percent="97"/>
          <w:sz w:val="24"/>
          <w:szCs w:val="24"/>
        </w:rPr>
      </w:r>
    </w:p>
    <w:p>
      <w:pPr>
        <w:ind w:firstLine="709"/>
        <w:spacing/>
        <w:contextualSpacing/>
        <w:jc w:val="center"/>
        <w:widowControl/>
        <w:rPr>
          <w:b/>
          <w:bCs/>
          <w:color w:val="000000"/>
          <w:spacing w:val="-4" w:percent="97"/>
          <w:sz w:val="24"/>
          <w:szCs w:val="24"/>
        </w:rPr>
      </w:pPr>
      <w:r>
        <w:rPr>
          <w:b/>
          <w:bCs/>
          <w:color w:val="000000"/>
          <w:spacing w:val="-4" w:percent="97"/>
          <w:sz w:val="24"/>
          <w:szCs w:val="24"/>
        </w:rPr>
        <w:t>12. ОБРАЗОВАНИЕ</w:t>
      </w:r>
    </w:p>
    <w:p>
      <w:pPr>
        <w:pStyle w:val="para126"/>
        <w:ind w:left="0" w:right="0" w:firstLine="709"/>
        <w:spacing w:after="0"/>
        <w:contextualSpacing/>
        <w:jc w:val="both"/>
        <w:tabs defTabSz="708">
          <w:tab w:val="left" w:pos="567" w:leader="none"/>
        </w:tabs>
        <w:rPr>
          <w:color w:val="000000"/>
          <w:sz w:val="24"/>
          <w:szCs w:val="24"/>
        </w:rPr>
      </w:pPr>
      <w:r>
        <w:rPr>
          <w:color w:val="000000"/>
          <w:sz w:val="24"/>
          <w:szCs w:val="24"/>
        </w:rPr>
        <w:t>В Анжеро-Судженском городском округе функционируют 27 дошкольных образовательных учреждений, 13 общеобразовательных организаций, из них 2 учреждения для детей с ограниченными возможностями здоровья, 9 учреждений дополнительного образования детей (учреждения управления образования – 5, управление культуры – 4).</w:t>
      </w:r>
    </w:p>
    <w:p>
      <w:pPr>
        <w:pStyle w:val="para126"/>
        <w:ind w:left="0" w:right="0" w:firstLine="709"/>
        <w:spacing w:after="0"/>
        <w:contextualSpacing/>
        <w:jc w:val="both"/>
        <w:tabs defTabSz="708">
          <w:tab w:val="left" w:pos="567" w:leader="none"/>
        </w:tabs>
        <w:rPr>
          <w:color w:val="000000"/>
          <w:sz w:val="24"/>
          <w:szCs w:val="24"/>
        </w:rPr>
      </w:pPr>
      <w:r>
        <w:rPr>
          <w:color w:val="000000"/>
          <w:sz w:val="24"/>
          <w:szCs w:val="24"/>
        </w:rPr>
        <w:t xml:space="preserve">Согласно письма Министерства образования Кузбасса от 14.01.2025 №279/04-02 определён критерий достижения средней заработной платы педагогических работников на 2025 год. </w:t>
      </w:r>
    </w:p>
    <w:p>
      <w:pPr>
        <w:pStyle w:val="para126"/>
        <w:ind w:left="0" w:right="0" w:firstLine="709"/>
        <w:spacing w:after="0"/>
        <w:contextualSpacing/>
        <w:jc w:val="both"/>
        <w:tabs defTabSz="708">
          <w:tab w:val="left" w:pos="567" w:leader="none"/>
        </w:tabs>
        <w:rPr>
          <w:color w:val="000000"/>
          <w:sz w:val="24"/>
          <w:szCs w:val="24"/>
        </w:rPr>
      </w:pPr>
      <w:r>
        <w:rPr>
          <w:color w:val="000000"/>
          <w:sz w:val="24"/>
          <w:szCs w:val="24"/>
        </w:rPr>
        <w:t xml:space="preserve">Управлением образования осуществляется контроль по обеспечению средней заработной платы педагогических работников в соответствии с установленным размером. </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По итогам 9-и месяцев 2025 года средняя заработная плата педагогических работников составила:</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 xml:space="preserve">- </w:t>
      </w:r>
      <w:r>
        <w:rPr>
          <w:b/>
          <w:color w:val="000000"/>
          <w:sz w:val="24"/>
          <w:szCs w:val="24"/>
          <w:lang w:eastAsia="ru-ru"/>
        </w:rPr>
        <w:t xml:space="preserve">общего образования </w:t>
      </w:r>
      <w:r>
        <w:rPr>
          <w:color w:val="000000"/>
          <w:sz w:val="24"/>
          <w:szCs w:val="24"/>
          <w:lang w:eastAsia="ru-ru"/>
        </w:rPr>
        <w:t xml:space="preserve">– 61214,13 руб. </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Согласно письма Министерства образования Кузбасса средняя заработная плата педагогических работников общего образования (без учета федеральных выплат за классное руководство) по итогам 2025 года должна составлять 60858,0 руб. Фактически достигнутое значение выше установленного размера на 0,59%;</w:t>
      </w:r>
      <w:r>
        <w:rPr>
          <w:b/>
          <w:color w:val="000000"/>
          <w:sz w:val="24"/>
          <w:szCs w:val="24"/>
          <w:lang w:eastAsia="ru-ru"/>
        </w:rPr>
        <w:t xml:space="preserve"> </w:t>
      </w:r>
      <w:r>
        <w:rPr>
          <w:color w:val="000000"/>
          <w:sz w:val="24"/>
          <w:szCs w:val="24"/>
          <w:lang w:eastAsia="ru-ru"/>
        </w:rPr>
      </w:r>
    </w:p>
    <w:p>
      <w:pPr>
        <w:ind w:firstLine="709"/>
        <w:spacing/>
        <w:contextualSpacing/>
        <w:jc w:val="both"/>
        <w:tabs defTabSz="708">
          <w:tab w:val="left" w:pos="567" w:leader="none"/>
        </w:tabs>
        <w:rPr>
          <w:color w:val="000000"/>
          <w:sz w:val="24"/>
          <w:szCs w:val="24"/>
        </w:rPr>
      </w:pPr>
      <w:r>
        <w:rPr>
          <w:color w:val="000000"/>
          <w:sz w:val="24"/>
          <w:szCs w:val="24"/>
        </w:rPr>
        <w:t xml:space="preserve">- </w:t>
      </w:r>
      <w:r>
        <w:rPr>
          <w:b/>
          <w:color w:val="000000"/>
          <w:sz w:val="24"/>
          <w:szCs w:val="24"/>
        </w:rPr>
        <w:t xml:space="preserve">дошкольного образования </w:t>
      </w:r>
      <w:r>
        <w:rPr>
          <w:color w:val="000000"/>
          <w:sz w:val="24"/>
          <w:szCs w:val="24"/>
        </w:rPr>
        <w:t xml:space="preserve">– 59103,28 руб. </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 xml:space="preserve">Средняя заработная плата педагогических работников в дошкольном образовании должна быть не ниже, чем средняя заработная плата в общем образовании Анжеро-Судженского городского округа. </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Среднемесячная заработная плата в общем образовании по итогам за 6 месяцев 2025 года составила 59393,34 руб. Фактически достигнутое значение ниже заработной платы в общем образовании на 0,49%;</w:t>
      </w:r>
      <w:r>
        <w:rPr>
          <w:b/>
          <w:color w:val="000000"/>
          <w:sz w:val="24"/>
          <w:szCs w:val="24"/>
          <w:lang w:eastAsia="ru-ru"/>
        </w:rPr>
        <w:t xml:space="preserve"> </w:t>
      </w:r>
      <w:r>
        <w:rPr>
          <w:color w:val="000000"/>
          <w:sz w:val="24"/>
          <w:szCs w:val="24"/>
          <w:lang w:eastAsia="ru-ru"/>
        </w:rPr>
      </w:r>
    </w:p>
    <w:p>
      <w:pPr>
        <w:ind w:firstLine="709"/>
        <w:spacing/>
        <w:contextualSpacing/>
        <w:jc w:val="both"/>
        <w:tabs defTabSz="708">
          <w:tab w:val="left" w:pos="567" w:leader="none"/>
        </w:tabs>
        <w:rPr>
          <w:color w:val="000000"/>
          <w:sz w:val="24"/>
          <w:szCs w:val="24"/>
        </w:rPr>
      </w:pPr>
      <w:r>
        <w:rPr>
          <w:b/>
          <w:color w:val="000000"/>
          <w:sz w:val="24"/>
          <w:szCs w:val="24"/>
        </w:rPr>
        <w:t xml:space="preserve">- учреждений дополнительного образования </w:t>
      </w:r>
      <w:r>
        <w:rPr>
          <w:color w:val="000000"/>
          <w:sz w:val="24"/>
          <w:szCs w:val="24"/>
        </w:rPr>
        <w:t>– 64711,63 руб. (управление образования – 63264,59 руб., управление культуры – 63340,66 руб., комитет по физической культуре, спорту и молодёжной политике – 72521,24 руб.).</w:t>
      </w:r>
    </w:p>
    <w:p>
      <w:pPr>
        <w:ind w:firstLine="709"/>
        <w:spacing/>
        <w:contextualSpacing/>
        <w:jc w:val="both"/>
        <w:tabs defTabSz="708">
          <w:tab w:val="left" w:pos="567" w:leader="none"/>
        </w:tabs>
        <w:rPr>
          <w:color w:val="000000"/>
          <w:sz w:val="24"/>
          <w:szCs w:val="24"/>
        </w:rPr>
      </w:pPr>
      <w:r>
        <w:rPr>
          <w:color w:val="000000"/>
          <w:sz w:val="24"/>
          <w:szCs w:val="24"/>
        </w:rPr>
        <w:t>Средняя заработная плата педагогических работников в дополнительном образовании должна быть не ниже, чем средняя заработная плата учителей общеобразовательных организаций Анжеро-Судженского городского округа.</w:t>
      </w:r>
    </w:p>
    <w:p>
      <w:pPr>
        <w:ind w:firstLine="709"/>
        <w:spacing/>
        <w:contextualSpacing/>
        <w:jc w:val="both"/>
        <w:tabs defTabSz="708">
          <w:tab w:val="left" w:pos="567" w:leader="none"/>
        </w:tabs>
        <w:rPr>
          <w:color w:val="000000"/>
          <w:sz w:val="24"/>
          <w:szCs w:val="24"/>
        </w:rPr>
      </w:pPr>
      <w:r>
        <w:rPr>
          <w:color w:val="000000"/>
          <w:sz w:val="24"/>
          <w:szCs w:val="24"/>
        </w:rPr>
        <w:t xml:space="preserve"> Среднемесячная заработная плата учителей общеобразовательных организаций по итогам за 9 месяцев 2025 года составляет 61772,13 руб. Фактически достигнутое значение в целом выше установленного размера на 4,76%.</w:t>
      </w:r>
    </w:p>
    <w:p>
      <w:pPr>
        <w:spacing/>
        <w:contextualSpacing/>
        <w:jc w:val="both"/>
        <w:tabs defTabSz="708">
          <w:tab w:val="left" w:pos="567" w:leader="none"/>
        </w:tabs>
        <w:rPr>
          <w:color w:val="000000"/>
          <w:sz w:val="24"/>
          <w:szCs w:val="24"/>
        </w:rPr>
      </w:pPr>
      <w:r>
        <w:rPr>
          <w:color w:val="000000"/>
          <w:sz w:val="24"/>
          <w:szCs w:val="24"/>
        </w:rPr>
      </w:r>
    </w:p>
    <w:p>
      <w:pPr>
        <w:ind w:left="-284" w:firstLine="993"/>
        <w:spacing/>
        <w:contextualSpacing/>
        <w:jc w:val="center"/>
        <w:widowControl/>
        <w:rPr>
          <w:b/>
          <w:color w:val="000000"/>
          <w:sz w:val="24"/>
          <w:szCs w:val="24"/>
          <w:u w:color="auto" w:val="single"/>
        </w:rPr>
      </w:pPr>
      <w:r>
        <w:rPr>
          <w:b/>
          <w:color w:val="000000"/>
          <w:sz w:val="24"/>
          <w:szCs w:val="24"/>
          <w:u w:color="auto" w:val="single"/>
        </w:rPr>
        <w:t>Дошкольное образование</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lang w:eastAsia="ru-ru"/>
        </w:rPr>
      </w:pPr>
      <w:r>
        <w:rPr>
          <w:color w:val="000000"/>
          <w:sz w:val="24"/>
          <w:szCs w:val="24"/>
          <w:lang w:eastAsia="ru-ru"/>
        </w:rPr>
        <w:t>Система дошкольного образования в Анжеро-Судженском городском округе представляет собой сеть муниципальных образовательных дошкольных организаций, реализующих основную общеобразовательную программу дошкольного образования и осуществляющих присмотр и уход за детьми.</w:t>
      </w:r>
    </w:p>
    <w:p>
      <w:pPr>
        <w:ind w:firstLine="709"/>
        <w:spacing w:line="264" w:lineRule="auto"/>
        <w:jc w:val="both"/>
        <w:tabs defTabSz="708">
          <w:tab w:val="left" w:pos="567" w:leader="none"/>
        </w:tabs>
        <w:rPr>
          <w:color w:val="000000"/>
          <w:sz w:val="24"/>
          <w:szCs w:val="24"/>
          <w:shd w:val="clear" w:fill="eeece1"/>
        </w:rPr>
      </w:pPr>
      <w:r>
        <w:rPr>
          <w:color w:val="000000"/>
          <w:sz w:val="24"/>
          <w:szCs w:val="24"/>
          <w:shd w:val="clear" w:fill="eeece1"/>
        </w:rPr>
        <w:t>В дошкольные образовательные организации по состоянию на 30.09.2025 года зачислено 2309 воспитанников. Актуальная очередь в дошкольные образовательные учреждения отсутствует.</w:t>
      </w:r>
    </w:p>
    <w:p>
      <w:pPr>
        <w:ind w:firstLine="709"/>
        <w:spacing w:line="264" w:lineRule="auto"/>
        <w:jc w:val="both"/>
        <w:tabs defTabSz="708">
          <w:tab w:val="left" w:pos="567" w:leader="none"/>
        </w:tabs>
        <w:rPr>
          <w:color w:val="000000"/>
          <w:sz w:val="24"/>
          <w:szCs w:val="24"/>
          <w:shd w:val="clear" w:fill="eeece1"/>
        </w:rPr>
      </w:pPr>
      <w:r>
        <w:rPr>
          <w:color w:val="000000"/>
          <w:sz w:val="24"/>
          <w:szCs w:val="24"/>
          <w:shd w:val="clear" w:fill="eeece1"/>
        </w:rPr>
        <w:t xml:space="preserve">Из 28-и дошкольных образовательных организаций созданы условия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образование в семье </w:t>
      </w:r>
      <w:r>
        <w:rPr>
          <w:color w:val="000000"/>
          <w:sz w:val="24"/>
          <w:szCs w:val="24"/>
        </w:rPr>
        <w:t>в шести организациях – ДС №3, 5, 9, 11, 12, 42</w:t>
      </w:r>
      <w:r>
        <w:rPr>
          <w:color w:val="000000"/>
          <w:sz w:val="24"/>
          <w:szCs w:val="24"/>
          <w:shd w:val="clear" w:fill="eeece1"/>
        </w:rPr>
        <w:t>.</w:t>
      </w:r>
      <w:r>
        <w:rPr>
          <w:color w:val="000000"/>
          <w:sz w:val="24"/>
          <w:szCs w:val="24"/>
          <w:shd w:val="clear" w:fill="eeece1"/>
        </w:rPr>
      </w:r>
    </w:p>
    <w:p>
      <w:pPr>
        <w:spacing w:line="264" w:lineRule="auto"/>
        <w:jc w:val="both"/>
        <w:tabs defTabSz="708">
          <w:tab w:val="left" w:pos="567" w:leader="none"/>
        </w:tabs>
        <w:rPr>
          <w:b/>
          <w:color w:val="000000"/>
          <w:sz w:val="24"/>
          <w:szCs w:val="24"/>
        </w:rPr>
      </w:pPr>
      <w:r>
        <w:rPr>
          <w:color w:val="000000"/>
          <w:sz w:val="24"/>
          <w:szCs w:val="24"/>
          <w:shd w:val="clear" w:fill="eeece1"/>
        </w:rPr>
        <w:tab/>
        <w:tab/>
        <w:t>В</w:t>
      </w:r>
      <w:r>
        <w:rPr>
          <w:color w:val="000000"/>
          <w:sz w:val="24"/>
          <w:szCs w:val="24"/>
        </w:rPr>
        <w:t xml:space="preserve"> связи со снижением численности воспитанников в дошкольном образовании настоящее время</w:t>
      </w:r>
      <w:r>
        <w:rPr>
          <w:color w:val="000000"/>
          <w:sz w:val="24"/>
          <w:szCs w:val="24"/>
          <w:shd w:val="clear" w:fill="eeece1"/>
        </w:rPr>
        <w:t xml:space="preserve"> осуществлена </w:t>
      </w:r>
      <w:r>
        <w:rPr>
          <w:color w:val="000000"/>
          <w:sz w:val="24"/>
          <w:szCs w:val="24"/>
        </w:rPr>
        <w:t>процедура ликвидации МБДОУ «ДС № 36».</w:t>
      </w:r>
      <w:r>
        <w:rPr>
          <w:b/>
          <w:color w:val="000000"/>
          <w:sz w:val="24"/>
          <w:szCs w:val="24"/>
        </w:rPr>
      </w:r>
    </w:p>
    <w:p>
      <w:pPr>
        <w:ind w:left="-284" w:firstLine="993"/>
        <w:spacing/>
        <w:contextualSpacing/>
        <w:jc w:val="both"/>
        <w:widowControl/>
        <w:rPr>
          <w:color w:val="000000"/>
          <w:sz w:val="24"/>
          <w:szCs w:val="24"/>
          <w:lang w:eastAsia="en-us"/>
        </w:rPr>
      </w:pPr>
      <w:r>
        <w:rPr>
          <w:highlight w:val="yellow"/>
          <w:color w:val="000000"/>
          <w:sz w:val="24"/>
          <w:szCs w:val="24"/>
          <w:lang w:eastAsia="en-us"/>
        </w:rPr>
        <w:t xml:space="preserve"> </w:t>
      </w:r>
      <w:r>
        <w:rPr>
          <w:color w:val="000000"/>
          <w:sz w:val="24"/>
          <w:szCs w:val="24"/>
          <w:lang w:eastAsia="en-us"/>
        </w:rPr>
      </w:r>
    </w:p>
    <w:p>
      <w:pPr>
        <w:ind w:firstLine="708"/>
        <w:spacing/>
        <w:contextualSpacing/>
        <w:jc w:val="center"/>
        <w:widowControl/>
        <w:rPr>
          <w:b/>
          <w:color w:val="000000"/>
          <w:sz w:val="24"/>
          <w:szCs w:val="24"/>
          <w:u w:color="auto" w:val="single"/>
        </w:rPr>
      </w:pPr>
      <w:r>
        <w:rPr>
          <w:b/>
          <w:color w:val="000000"/>
          <w:sz w:val="24"/>
          <w:szCs w:val="24"/>
          <w:u w:color="auto" w:val="single"/>
        </w:rPr>
        <w:t>Общее образование</w:t>
      </w:r>
    </w:p>
    <w:p>
      <w:pPr>
        <w:ind w:firstLine="709"/>
        <w:spacing w:line="264" w:lineRule="auto"/>
        <w:jc w:val="both"/>
        <w:tabs defTabSz="708">
          <w:tab w:val="left" w:pos="567" w:leader="none"/>
        </w:tabs>
        <w:rPr>
          <w:color w:val="000000"/>
          <w:sz w:val="24"/>
          <w:szCs w:val="24"/>
        </w:rPr>
      </w:pPr>
      <w:r>
        <w:rPr>
          <w:color w:val="000000"/>
          <w:sz w:val="24"/>
          <w:szCs w:val="24"/>
        </w:rPr>
        <w:t xml:space="preserve">Согласно статистической отчетности по форме №ОО-1 на 20.09.2025г. численность обучающихся в общем образовании составляет 8064 чел., в том числе во 2-ю смену 1264 обучающийся. Доля обучающихся в муниципальных общеобразовательных учреждениях, занимающихся во вторую смену составляет 15,7%. </w:t>
      </w:r>
    </w:p>
    <w:p>
      <w:pPr>
        <w:ind w:firstLine="709"/>
        <w:spacing w:line="264" w:lineRule="auto"/>
        <w:jc w:val="both"/>
        <w:tabs defTabSz="708">
          <w:tab w:val="left" w:pos="567" w:leader="none"/>
        </w:tabs>
        <w:rPr>
          <w:color w:val="000000"/>
          <w:sz w:val="24"/>
          <w:szCs w:val="24"/>
        </w:rPr>
      </w:pPr>
      <w:r>
        <w:rPr>
          <w:color w:val="000000"/>
          <w:sz w:val="24"/>
          <w:szCs w:val="24"/>
        </w:rPr>
        <w:t xml:space="preserve">За период с 2015 по 2024 год доля обучающихся в муниципальных общеобразовательных учреждениях, занимающихся во вторую смену с 23,7% (2015 год) снизилась на 8,0% - за счёт закрытия групп дошкольных образовательных организаций, находящихся в школах №12, 17, 38; использование ступенчатого расписания; открытия с 01.09.2023г. новой МАОУ «СОШ №1»; завершения капитального ремонта МБОУ «ООШ №8» (функционирует с 01.09.2023). </w:t>
      </w:r>
    </w:p>
    <w:p>
      <w:pPr>
        <w:ind w:firstLine="709"/>
        <w:spacing w:line="264" w:lineRule="auto"/>
        <w:jc w:val="both"/>
        <w:tabs defTabSz="708">
          <w:tab w:val="left" w:pos="567" w:leader="none"/>
        </w:tabs>
        <w:rPr>
          <w:color w:val="000000"/>
          <w:sz w:val="24"/>
          <w:szCs w:val="24"/>
        </w:rPr>
      </w:pPr>
      <w:r>
        <w:rPr>
          <w:color w:val="000000"/>
          <w:sz w:val="24"/>
          <w:szCs w:val="24"/>
        </w:rPr>
        <w:t>Организовано временное трудоустройство несовершеннолетних детей в возрасте от 14 до 18 лет в свободное от учёбы время. По итогам 9-и месяцев 2025 года трудоустроено в общеобразовательные организации 1317 обучающихся. Заработную плату подросткам начисляют из расчёта не ниже минимального размера оплаты труда (с 1 января 2025 года – 29 172 рубля) пропорционально отработанному времени. Дополнительно служба занятости выплачивает несовершеннолетнему материальную поддержку.</w:t>
      </w:r>
    </w:p>
    <w:p>
      <w:pPr>
        <w:ind w:firstLine="567"/>
        <w:spacing/>
        <w:contextualSpacing/>
        <w:jc w:val="center"/>
        <w:widowControl/>
        <w:rPr>
          <w:rFonts w:eastAsia="Calibri"/>
          <w:b/>
          <w:color w:val="000000"/>
          <w:sz w:val="24"/>
          <w:szCs w:val="24"/>
          <w:lang w:eastAsia="en-us"/>
        </w:rPr>
      </w:pPr>
      <w:r>
        <w:rPr>
          <w:rFonts w:eastAsia="Calibri"/>
          <w:b/>
          <w:color w:val="000000"/>
          <w:sz w:val="24"/>
          <w:szCs w:val="24"/>
          <w:lang w:eastAsia="en-us"/>
        </w:rPr>
      </w:r>
    </w:p>
    <w:p>
      <w:pPr>
        <w:ind w:firstLine="567"/>
        <w:spacing/>
        <w:contextualSpacing/>
        <w:jc w:val="center"/>
        <w:widowControl/>
        <w:rPr>
          <w:rFonts w:eastAsia="Calibri"/>
          <w:b/>
          <w:color w:val="000000"/>
          <w:sz w:val="24"/>
          <w:szCs w:val="24"/>
          <w:u w:color="auto" w:val="single"/>
          <w:lang w:eastAsia="en-us"/>
        </w:rPr>
      </w:pPr>
      <w:r>
        <w:rPr>
          <w:rFonts w:eastAsia="Calibri"/>
          <w:b/>
          <w:color w:val="000000"/>
          <w:sz w:val="24"/>
          <w:szCs w:val="24"/>
          <w:u w:color="auto" w:val="single"/>
          <w:lang w:eastAsia="en-us"/>
        </w:rPr>
        <w:t>Дополнительное образование</w:t>
      </w:r>
    </w:p>
    <w:p>
      <w:pPr>
        <w:ind w:firstLine="709"/>
        <w:spacing w:line="264" w:lineRule="auto"/>
        <w:jc w:val="both"/>
        <w:tabs defTabSz="708">
          <w:tab w:val="left" w:pos="567" w:leader="none"/>
        </w:tabs>
        <w:rPr>
          <w:color w:val="000000"/>
          <w:sz w:val="24"/>
          <w:szCs w:val="24"/>
        </w:rPr>
      </w:pPr>
      <w:r>
        <w:rPr>
          <w:color w:val="000000"/>
          <w:sz w:val="24"/>
          <w:szCs w:val="24"/>
        </w:rPr>
        <w:t>Дополнительное образование дает ребенку возможность развить творческие способности, приобрести дополнительные знания, умения и навыки. Отдавая своего ребёнка в какой-либо кружок, спортивную секцию или музыкальную школу, родители предоставляют ему возможность дополнительного развития. Дополнительное образование детей осуществляется в образовательных учреждениях дополнительного образования детей, образовательных учреждениях, реализующих основные образовательные программы.</w:t>
      </w:r>
    </w:p>
    <w:p>
      <w:pPr>
        <w:ind w:firstLine="709"/>
        <w:spacing w:line="264" w:lineRule="auto"/>
        <w:jc w:val="both"/>
        <w:tabs defTabSz="708">
          <w:tab w:val="left" w:pos="567" w:leader="none"/>
        </w:tabs>
        <w:rPr>
          <w:color w:val="000000"/>
          <w:sz w:val="24"/>
          <w:szCs w:val="24"/>
        </w:rPr>
      </w:pPr>
      <w:r>
        <w:rPr>
          <w:color w:val="000000"/>
          <w:sz w:val="24"/>
          <w:szCs w:val="24"/>
        </w:rPr>
        <w:t xml:space="preserve">Детей в возрасте от 5 до 18 лет, охваченных дополнительным образованием по состоянию на 30.09.2025 составляет 9693 чел. </w:t>
      </w:r>
    </w:p>
    <w:p>
      <w:pPr>
        <w:ind w:firstLine="709"/>
        <w:spacing w:line="264" w:lineRule="auto"/>
        <w:jc w:val="both"/>
        <w:tabs defTabSz="708">
          <w:tab w:val="left" w:pos="567" w:leader="none"/>
        </w:tabs>
        <w:rPr>
          <w:color w:val="000000"/>
          <w:sz w:val="24"/>
          <w:szCs w:val="24"/>
          <w:shd w:val="clear" w:fill="ffffff"/>
        </w:rPr>
      </w:pPr>
      <w:r>
        <w:rPr>
          <w:color w:val="000000"/>
          <w:sz w:val="24"/>
          <w:szCs w:val="24"/>
          <w:shd w:val="clear" w:fill="ffffff"/>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области-Кузбасс на приобретение спортивного и игрового оборудования в организации отдыха детей и их оздоровления всех типов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на 2014-2025 годы. </w:t>
      </w:r>
    </w:p>
    <w:p>
      <w:pPr>
        <w:ind w:firstLine="709"/>
        <w:spacing w:line="264" w:lineRule="auto"/>
        <w:jc w:val="both"/>
        <w:tabs defTabSz="708">
          <w:tab w:val="left" w:pos="567" w:leader="none"/>
        </w:tabs>
        <w:rPr>
          <w:color w:val="000000"/>
          <w:sz w:val="24"/>
          <w:szCs w:val="24"/>
        </w:rPr>
      </w:pPr>
      <w:r>
        <w:rPr>
          <w:color w:val="000000"/>
          <w:sz w:val="24"/>
          <w:szCs w:val="24"/>
          <w:shd w:val="clear" w:fill="ffffff"/>
        </w:rPr>
        <w:t>Субсидию на укрепление материально-технической базы организаций отдыха детей и их оздоровления получили в 2019 году МБУ ДО «ООСЦ «Олимп» в размере 103000 руб., в 2020 году МБУ ДО «ДЮСШ №1 «Юность» - 440000 руб., в</w:t>
      </w:r>
      <w:r>
        <w:rPr>
          <w:color w:val="000000"/>
          <w:sz w:val="24"/>
          <w:szCs w:val="24"/>
        </w:rPr>
        <w:t xml:space="preserve"> 2023 году МБУ ДО «ДЮСШ №1 «Юность» - 1145161,3 руб., в 2024 году МБУ ДО «ДЮСШ №1 «Юность» -  3815268,82 руб., 2025 году на устройство канализационных колодцев для уличных туалетов загородного лагеря «Белая Роща» МБУ ДО «ДЮСШ №1 «Юность» в сумме 1106979,57 руб.</w:t>
      </w:r>
    </w:p>
    <w:p>
      <w:pPr>
        <w:ind w:firstLine="851"/>
        <w:spacing w:line="264" w:lineRule="auto"/>
        <w:jc w:val="both"/>
        <w:rPr>
          <w:color w:val="000000"/>
          <w:sz w:val="24"/>
          <w:szCs w:val="24"/>
        </w:rPr>
      </w:pPr>
      <w:r>
        <w:rPr>
          <w:color w:val="000000"/>
          <w:sz w:val="24"/>
          <w:szCs w:val="24"/>
        </w:rPr>
        <w:t>В 2025 году организован отдых детей и их оздоровление на территории Анжеро-Судженского городского округа:</w:t>
      </w:r>
    </w:p>
    <w:p>
      <w:pPr>
        <w:ind w:firstLine="851"/>
        <w:spacing w:line="264" w:lineRule="auto"/>
        <w:jc w:val="both"/>
        <w:rPr>
          <w:color w:val="000000"/>
          <w:sz w:val="24"/>
          <w:szCs w:val="24"/>
        </w:rPr>
      </w:pPr>
      <w:r>
        <w:rPr>
          <w:color w:val="000000"/>
          <w:sz w:val="24"/>
          <w:szCs w:val="24"/>
        </w:rPr>
        <w:t>- стационарный загородный лагерь «Белая роща» МБУ ДО «ДЮСШ №1 «Юность»;</w:t>
      </w:r>
    </w:p>
    <w:p>
      <w:pPr>
        <w:ind w:firstLine="851"/>
        <w:spacing w:line="264" w:lineRule="auto"/>
        <w:jc w:val="both"/>
        <w:rPr>
          <w:color w:val="000000"/>
          <w:sz w:val="24"/>
          <w:szCs w:val="24"/>
        </w:rPr>
      </w:pPr>
      <w:r>
        <w:rPr>
          <w:color w:val="000000"/>
          <w:sz w:val="24"/>
          <w:szCs w:val="24"/>
        </w:rPr>
        <w:t>- санаторий «Анжерский»;</w:t>
      </w:r>
    </w:p>
    <w:p>
      <w:pPr>
        <w:ind w:firstLine="851"/>
        <w:spacing w:line="264" w:lineRule="auto"/>
        <w:jc w:val="both"/>
        <w:rPr>
          <w:color w:val="000000"/>
          <w:sz w:val="24"/>
          <w:szCs w:val="24"/>
        </w:rPr>
      </w:pPr>
      <w:r>
        <w:rPr>
          <w:color w:val="000000"/>
          <w:sz w:val="24"/>
          <w:szCs w:val="24"/>
        </w:rPr>
        <w:t>- загородный лагерь «Огонёк»;</w:t>
      </w:r>
    </w:p>
    <w:p>
      <w:pPr>
        <w:ind w:firstLine="851"/>
        <w:spacing w:line="264" w:lineRule="auto"/>
        <w:jc w:val="both"/>
        <w:rPr>
          <w:color w:val="000000"/>
          <w:sz w:val="24"/>
          <w:szCs w:val="24"/>
        </w:rPr>
      </w:pPr>
      <w:r>
        <w:rPr>
          <w:color w:val="000000"/>
          <w:sz w:val="24"/>
          <w:szCs w:val="24"/>
        </w:rPr>
        <w:t>- «Лагерь №1» ИП Шинкарев С.А.;</w:t>
      </w:r>
    </w:p>
    <w:p>
      <w:pPr>
        <w:ind w:firstLine="851"/>
        <w:spacing w:line="264" w:lineRule="auto"/>
        <w:jc w:val="both"/>
        <w:rPr>
          <w:color w:val="000000"/>
          <w:sz w:val="24"/>
          <w:szCs w:val="24"/>
        </w:rPr>
      </w:pPr>
      <w:r>
        <w:rPr>
          <w:color w:val="000000"/>
          <w:sz w:val="24"/>
          <w:szCs w:val="24"/>
        </w:rPr>
        <w:t>- оздоровительные лагеря с дневным пребыванием детей на базе образовательных организаций;</w:t>
      </w:r>
    </w:p>
    <w:p>
      <w:pPr>
        <w:ind w:firstLine="851"/>
        <w:spacing w:line="264" w:lineRule="auto"/>
        <w:jc w:val="both"/>
        <w:rPr>
          <w:color w:val="000000"/>
          <w:sz w:val="24"/>
          <w:szCs w:val="24"/>
        </w:rPr>
      </w:pPr>
      <w:r>
        <w:rPr>
          <w:color w:val="000000"/>
          <w:sz w:val="24"/>
          <w:szCs w:val="24"/>
        </w:rPr>
        <w:t>- лагеря труда и отдыха для подростков на базе общеобразовательных организаций;</w:t>
      </w:r>
    </w:p>
    <w:p>
      <w:pPr>
        <w:ind w:firstLine="851"/>
        <w:spacing w:line="264" w:lineRule="auto"/>
        <w:jc w:val="both"/>
        <w:rPr>
          <w:color w:val="000000"/>
          <w:sz w:val="24"/>
          <w:szCs w:val="24"/>
        </w:rPr>
      </w:pPr>
      <w:r>
        <w:rPr>
          <w:color w:val="000000"/>
          <w:sz w:val="24"/>
          <w:szCs w:val="24"/>
        </w:rPr>
        <w:t>- детский лагерь палаточного типа на базе стационарный загородный лагерь «Белая роща» МБУ ДО «ДЮСШ №1 «Юность».</w:t>
      </w:r>
    </w:p>
    <w:p>
      <w:pPr>
        <w:ind w:firstLine="851"/>
        <w:spacing w:line="264" w:lineRule="auto"/>
        <w:jc w:val="both"/>
        <w:rPr>
          <w:color w:val="000000"/>
          <w:sz w:val="24"/>
          <w:szCs w:val="24"/>
        </w:rPr>
      </w:pPr>
      <w:r>
        <w:rPr>
          <w:color w:val="000000"/>
          <w:sz w:val="24"/>
          <w:szCs w:val="24"/>
        </w:rPr>
        <w:t>До 01.10.2025 охвачены организованными формами отдыха и оздоровления 7364 детей школьного возраста.</w:t>
      </w:r>
    </w:p>
    <w:p>
      <w:pPr>
        <w:spacing w:line="264" w:lineRule="auto"/>
        <w:jc w:val="both"/>
        <w:rPr>
          <w:b/>
          <w:color w:val="000000"/>
          <w:sz w:val="24"/>
          <w:szCs w:val="24"/>
        </w:rPr>
      </w:pPr>
      <w:r>
        <w:rPr>
          <w:b/>
          <w:color w:val="000000"/>
          <w:sz w:val="24"/>
          <w:szCs w:val="24"/>
        </w:rPr>
      </w:r>
    </w:p>
    <w:p>
      <w:pPr>
        <w:spacing/>
        <w:contextualSpacing/>
        <w:jc w:val="center"/>
        <w:widowControl/>
        <w:rPr>
          <w:b/>
          <w:color w:val="000000"/>
          <w:sz w:val="24"/>
          <w:szCs w:val="24"/>
        </w:rPr>
      </w:pPr>
      <w:r>
        <w:rPr>
          <w:b/>
          <w:color w:val="000000"/>
          <w:sz w:val="24"/>
          <w:szCs w:val="24"/>
        </w:rPr>
        <w:t>13. ЗДРАВООХРАНЕНИЕ</w:t>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color w:val="000000"/>
          <w:sz w:val="24"/>
          <w:szCs w:val="24"/>
        </w:rPr>
        <w:t>За 9 месяцев 2025 года в амбулаторно - поликлинических учреждениях города выполнено 371 301 посещений, что составляет 88 % от плана муниципального задания - 422 328.</w:t>
      </w:r>
    </w:p>
    <w:p>
      <w:pPr>
        <w:ind w:firstLine="708"/>
        <w:spacing/>
        <w:jc w:val="both"/>
        <w:rPr>
          <w:color w:val="000000"/>
          <w:sz w:val="24"/>
          <w:szCs w:val="24"/>
        </w:rPr>
      </w:pPr>
      <w:r>
        <w:rPr>
          <w:color w:val="000000"/>
          <w:sz w:val="24"/>
          <w:szCs w:val="24"/>
        </w:rPr>
        <w:t xml:space="preserve">В стационарных отделениях ГАУЗ АСГБ пролечено 7 252 пациентов, за 9 месяцев 2024 года - 7444. Выполнено 1843 оперативных вмешательств (за 9 месяцев 2024 - 2247), из них в хирургическом отделении  проведены 204 эндоскопические операции.   </w:t>
      </w:r>
    </w:p>
    <w:p>
      <w:pPr>
        <w:ind w:firstLine="708"/>
        <w:spacing/>
        <w:jc w:val="both"/>
        <w:rPr>
          <w:color w:val="000000"/>
          <w:sz w:val="24"/>
          <w:szCs w:val="24"/>
        </w:rPr>
      </w:pPr>
      <w:r>
        <w:rPr>
          <w:color w:val="000000"/>
          <w:sz w:val="24"/>
          <w:szCs w:val="24"/>
        </w:rPr>
        <w:t xml:space="preserve">В первичном сосудистом отделении пролечено за 9 месяцев 2025 года 530 пациентов (за 9 месяцев 2024 года – 664). </w:t>
      </w:r>
    </w:p>
    <w:p>
      <w:pPr>
        <w:ind w:firstLine="708"/>
        <w:spacing/>
        <w:jc w:val="both"/>
        <w:rPr>
          <w:color w:val="000000"/>
          <w:sz w:val="24"/>
          <w:szCs w:val="24"/>
        </w:rPr>
      </w:pPr>
      <w:r>
        <w:rPr>
          <w:color w:val="000000"/>
          <w:sz w:val="24"/>
          <w:szCs w:val="24"/>
        </w:rPr>
        <w:t>Количество исследований за 9 месяцев 2025 года  составило:</w:t>
      </w:r>
    </w:p>
    <w:p>
      <w:pPr>
        <w:spacing/>
        <w:jc w:val="both"/>
        <w:rPr>
          <w:color w:val="000000"/>
          <w:sz w:val="24"/>
          <w:szCs w:val="24"/>
        </w:rPr>
      </w:pPr>
      <w:r>
        <w:rPr>
          <w:color w:val="000000"/>
          <w:sz w:val="28"/>
        </w:rPr>
        <w:t>-</w:t>
      </w:r>
      <w:r>
        <w:rPr>
          <w:color w:val="000000"/>
          <w:sz w:val="24"/>
          <w:szCs w:val="24"/>
        </w:rPr>
        <w:t xml:space="preserve">  на компьютерном томографе – 7536 (за 9 месяцев  2024 - 7054),</w:t>
      </w:r>
      <w:r>
        <w:rPr>
          <w:color w:val="000000"/>
          <w:sz w:val="24"/>
          <w:szCs w:val="24"/>
        </w:rPr>
      </w:r>
    </w:p>
    <w:p>
      <w:pPr>
        <w:spacing/>
        <w:jc w:val="both"/>
        <w:rPr>
          <w:color w:val="000000"/>
          <w:sz w:val="24"/>
          <w:szCs w:val="24"/>
        </w:rPr>
      </w:pPr>
      <w:r>
        <w:rPr>
          <w:color w:val="000000"/>
          <w:sz w:val="24"/>
          <w:szCs w:val="24"/>
        </w:rPr>
        <w:t xml:space="preserve">-  на передвижном и стационарном  маммографах –  5159 (за 9 месяцев 2024 - 5481), </w:t>
      </w:r>
    </w:p>
    <w:p>
      <w:pPr>
        <w:spacing/>
        <w:jc w:val="both"/>
        <w:rPr>
          <w:color w:val="000000"/>
          <w:sz w:val="24"/>
          <w:szCs w:val="24"/>
        </w:rPr>
      </w:pPr>
      <w:r>
        <w:rPr>
          <w:color w:val="000000"/>
          <w:sz w:val="24"/>
          <w:szCs w:val="24"/>
        </w:rPr>
        <w:t>- флюорографические исследования – 25534 ( за 9 месяцев 2024 – 25325).</w:t>
      </w:r>
    </w:p>
    <w:p>
      <w:pPr>
        <w:ind w:firstLine="708"/>
        <w:spacing/>
        <w:jc w:val="both"/>
        <w:rPr>
          <w:color w:val="000000"/>
          <w:sz w:val="24"/>
          <w:szCs w:val="24"/>
        </w:rPr>
      </w:pPr>
      <w:r>
        <w:rPr>
          <w:color w:val="000000"/>
          <w:sz w:val="24"/>
          <w:szCs w:val="24"/>
        </w:rPr>
        <w:t xml:space="preserve">В ходе маммографических исследований  выявлено 2210 случаев  патологии (АППГ - 2502), с подозрением на  злокачественные новообразования  молочной железы – 635 случаев (АППГ -756). </w:t>
      </w:r>
    </w:p>
    <w:p>
      <w:pPr>
        <w:ind w:firstLine="708"/>
        <w:spacing/>
        <w:jc w:val="both"/>
        <w:rPr>
          <w:color w:val="000000"/>
          <w:sz w:val="24"/>
          <w:szCs w:val="24"/>
        </w:rPr>
      </w:pPr>
      <w:r>
        <w:rPr>
          <w:color w:val="000000"/>
          <w:sz w:val="24"/>
          <w:szCs w:val="24"/>
        </w:rPr>
        <w:t xml:space="preserve">По результатам  флюорографических  исследований    выявлено впервые случаев  патологии - 698 (АППГ- 729), активного туберкулеза - 42 (АППГ- 22). </w:t>
      </w:r>
    </w:p>
    <w:p>
      <w:pPr>
        <w:ind w:firstLine="567"/>
        <w:spacing/>
        <w:jc w:val="both"/>
        <w:rPr>
          <w:color w:val="000000"/>
          <w:sz w:val="24"/>
          <w:szCs w:val="24"/>
        </w:rPr>
      </w:pPr>
      <w:r>
        <w:rPr>
          <w:color w:val="000000"/>
          <w:sz w:val="24"/>
          <w:szCs w:val="24"/>
        </w:rPr>
        <w:t>В  центре амбулаторной онкологической помощи  медицинскую помощь (курсы химиотерапии)  получили  156 пациентов.</w:t>
      </w:r>
    </w:p>
    <w:p>
      <w:pPr>
        <w:ind w:firstLine="708"/>
        <w:spacing/>
        <w:jc w:val="both"/>
        <w:rPr>
          <w:color w:val="000000"/>
          <w:sz w:val="24"/>
          <w:szCs w:val="24"/>
        </w:rPr>
      </w:pPr>
      <w:r>
        <w:rPr>
          <w:color w:val="000000"/>
          <w:sz w:val="24"/>
          <w:szCs w:val="24"/>
        </w:rPr>
      </w:r>
    </w:p>
    <w:p>
      <w:pPr>
        <w:ind w:firstLine="540"/>
        <w:spacing/>
        <w:jc w:val="both"/>
        <w:rPr>
          <w:color w:val="000000"/>
          <w:sz w:val="24"/>
          <w:szCs w:val="24"/>
        </w:rPr>
      </w:pPr>
      <w:r>
        <w:rPr>
          <w:color w:val="000000"/>
          <w:sz w:val="24"/>
          <w:szCs w:val="24"/>
        </w:rPr>
        <w:t>В рамках оказания высокотехнологичной помощи  за счет средств федерального бюджета    на лечение в другие города  РФ  направлены 142 пациента,  за счет средств  ОМС -248 пациентов. Кроме этого, 26 пациенткам выданы направления на проведение ЭКО.</w:t>
      </w:r>
    </w:p>
    <w:p>
      <w:pPr>
        <w:ind w:firstLine="709"/>
        <w:spacing/>
        <w:contextualSpacing/>
        <w:jc w:val="both"/>
        <w:tabs defTabSz="708">
          <w:tab w:val="left" w:pos="0" w:leader="none"/>
        </w:tabs>
        <w:rPr>
          <w:color w:val="000000"/>
          <w:sz w:val="24"/>
          <w:szCs w:val="24"/>
        </w:rPr>
      </w:pPr>
      <w:r>
        <w:rPr>
          <w:color w:val="000000"/>
          <w:sz w:val="24"/>
          <w:szCs w:val="24"/>
        </w:rPr>
        <w:t xml:space="preserve">Большое внимание в отчетном периоде  2025 года медицинскими работниками ГАУЗ АСГБ уделено проведению телемедицинских консультаций  (ТМК) с узкими специалистами ГАУЗ АСГБ  и областными специалистами. За отчетный  </w:t>
      </w:r>
      <w:r>
        <w:rPr>
          <w:highlight w:val="white"/>
          <w:color w:val="000000"/>
          <w:sz w:val="24"/>
          <w:szCs w:val="24"/>
        </w:rPr>
        <w:t xml:space="preserve"> период проведено 596 ТМК. Данное направление позволяет в короткие сроки </w:t>
      </w:r>
      <w:r>
        <w:rPr>
          <w:color w:val="000000"/>
          <w:sz w:val="24"/>
          <w:szCs w:val="24"/>
        </w:rPr>
        <w:t>обеспечить квалифицированную консультативно-диагностическую медицинскую помощь пациенту</w:t>
      </w:r>
      <w:r>
        <w:rPr>
          <w:highlight w:val="white"/>
          <w:color w:val="000000"/>
          <w:sz w:val="24"/>
          <w:szCs w:val="24"/>
        </w:rPr>
        <w:t>.</w:t>
      </w:r>
      <w:r>
        <w:rPr>
          <w:color w:val="000000"/>
          <w:sz w:val="24"/>
          <w:szCs w:val="24"/>
        </w:rPr>
      </w:r>
    </w:p>
    <w:p>
      <w:pPr>
        <w:ind w:firstLine="709"/>
        <w:spacing/>
        <w:contextualSpacing/>
        <w:jc w:val="both"/>
        <w:rPr>
          <w:color w:val="000000"/>
          <w:sz w:val="24"/>
          <w:szCs w:val="24"/>
        </w:rPr>
      </w:pPr>
      <w:r>
        <w:rPr>
          <w:color w:val="000000"/>
          <w:sz w:val="24"/>
          <w:szCs w:val="24"/>
        </w:rPr>
        <w:t>В течение 9 месяцев  2025  года, согласно  заявкам ГАУЗ АСГБ осуществлялись  выезды   областных  специалистов. Совместная работа с ГАУЗ «Кузбасская областная клиническая больница имени С.В. Беляева» и ГБУЗ «Кузбасский клинический кардиологический диспансер имени академика Л.С. Барбараша»   помогает  организовать прием наших жителей узкими специалистами областного уровня.</w:t>
      </w:r>
    </w:p>
    <w:p>
      <w:pPr>
        <w:ind w:firstLine="709"/>
        <w:spacing/>
        <w:contextualSpacing/>
        <w:jc w:val="both"/>
        <w:rPr>
          <w:color w:val="000000"/>
          <w:sz w:val="24"/>
          <w:szCs w:val="24"/>
        </w:rPr>
      </w:pPr>
      <w:r>
        <w:rPr>
          <w:color w:val="000000"/>
          <w:sz w:val="24"/>
          <w:szCs w:val="24"/>
        </w:rPr>
        <w:t>За отчетный период специалистами осуществлено 17 выездов. Принято 944 пациента, из них: 707 взрослых и 237 детей. По результатам приема специалистов на консультацию и дообследование  в КОКБ и КККД направлено 83 пациента, на  госпитализацию  в стационарные отделения - 246.</w:t>
      </w:r>
    </w:p>
    <w:p>
      <w:pPr>
        <w:ind w:firstLine="540"/>
        <w:spacing/>
        <w:jc w:val="both"/>
        <w:rPr>
          <w:color w:val="000000"/>
          <w:sz w:val="24"/>
          <w:szCs w:val="24"/>
        </w:rPr>
      </w:pPr>
      <w:r>
        <w:rPr>
          <w:color w:val="000000"/>
          <w:sz w:val="24"/>
          <w:szCs w:val="24"/>
        </w:rPr>
        <w:t xml:space="preserve">Особое внимание в  2025  году  медицинские работники поликлиник уделили проведению профилактических мероприятий (повозрастная ,  углубленная диспансеризации  и профилактические осмотры), с целью  оценки общего состояния здоровья  и  выявления  на  раннем этапе  возможных  хронических  заболеваний.   </w:t>
      </w:r>
    </w:p>
    <w:p>
      <w:pPr>
        <w:ind w:firstLine="708"/>
        <w:spacing/>
        <w:jc w:val="both"/>
        <w:rPr>
          <w:highlight w:val="white"/>
          <w:color w:val="000000"/>
          <w:sz w:val="24"/>
          <w:szCs w:val="24"/>
        </w:rPr>
      </w:pPr>
      <w:r>
        <w:rPr>
          <w:highlight w:val="white"/>
          <w:color w:val="000000"/>
          <w:sz w:val="24"/>
          <w:szCs w:val="24"/>
        </w:rPr>
        <w:t xml:space="preserve">Достигнуты  следующие плановые показатели 2025 года:осмотрено в рамках повозрастной диспансеризации  18921 человек, что составило 69,4 % от годового плана;  профилактические осмотры прошли 4367 человек-85%; </w:t>
      </w:r>
      <w:r>
        <w:rPr>
          <w:color w:val="000000"/>
          <w:sz w:val="24"/>
          <w:szCs w:val="24"/>
        </w:rPr>
        <w:t xml:space="preserve">углубленную диспансеризацию  </w:t>
      </w:r>
      <w:r>
        <w:rPr>
          <w:highlight w:val="white"/>
          <w:color w:val="000000"/>
          <w:sz w:val="24"/>
          <w:szCs w:val="24"/>
        </w:rPr>
        <w:t xml:space="preserve">переболевших COVID-19 </w:t>
      </w:r>
      <w:r>
        <w:rPr>
          <w:color w:val="000000"/>
          <w:sz w:val="24"/>
          <w:szCs w:val="24"/>
        </w:rPr>
        <w:t xml:space="preserve"> прошли  3374 пациента –</w:t>
      </w:r>
      <w:r>
        <w:rPr>
          <w:highlight w:val="white"/>
          <w:color w:val="000000"/>
          <w:sz w:val="24"/>
          <w:szCs w:val="24"/>
        </w:rPr>
        <w:t xml:space="preserve"> 98 %, диспансеризацию для оценки репродуктивного здоровья  6381 человек – 76 %.</w:t>
      </w:r>
      <w:r>
        <w:rPr>
          <w:highlight w:val="white"/>
          <w:color w:val="000000"/>
          <w:sz w:val="24"/>
          <w:szCs w:val="24"/>
        </w:rPr>
      </w:r>
    </w:p>
    <w:p>
      <w:pPr>
        <w:ind w:right="10"/>
        <w:spacing/>
        <w:contextualSpacing/>
        <w:jc w:val="both"/>
        <w:tabs defTabSz="708">
          <w:tab w:val="left" w:pos="0" w:leader="none"/>
        </w:tabs>
        <w:rPr>
          <w:color w:val="000000"/>
          <w:sz w:val="24"/>
          <w:szCs w:val="24"/>
        </w:rPr>
      </w:pPr>
      <w:r>
        <w:rPr>
          <w:color w:val="000000"/>
          <w:sz w:val="24"/>
          <w:szCs w:val="24"/>
        </w:rPr>
        <w:t xml:space="preserve">       Таким образом,  за 9 месяцев  2025  года   городская  больница   в полном объеме оказывала плановую медицинскую помощь населению, и  большое внимание уделяла проведению профилактических мероприятий. </w:t>
      </w:r>
    </w:p>
    <w:p>
      <w:pPr>
        <w:ind w:firstLine="708"/>
        <w:spacing/>
        <w:jc w:val="both"/>
        <w:rPr>
          <w:color w:val="000000"/>
          <w:sz w:val="24"/>
          <w:szCs w:val="24"/>
        </w:rPr>
      </w:pPr>
      <w:r>
        <w:rPr>
          <w:color w:val="000000"/>
          <w:sz w:val="24"/>
          <w:szCs w:val="24"/>
        </w:rPr>
      </w:r>
    </w:p>
    <w:p>
      <w:pPr>
        <w:spacing/>
        <w:jc w:val="center"/>
        <w:rPr>
          <w:color w:val="000000"/>
          <w:sz w:val="24"/>
          <w:szCs w:val="24"/>
        </w:rPr>
      </w:pPr>
      <w:r>
        <w:rPr>
          <w:color w:val="000000"/>
          <w:sz w:val="24"/>
          <w:szCs w:val="24"/>
        </w:rPr>
      </w:r>
    </w:p>
    <w:p>
      <w:pPr>
        <w:ind w:firstLine="720"/>
        <w:spacing/>
        <w:contextualSpacing/>
        <w:jc w:val="center"/>
        <w:widowControl/>
        <w:rPr>
          <w:b/>
          <w:bCs/>
          <w:color w:val="000000"/>
          <w:sz w:val="24"/>
          <w:szCs w:val="24"/>
          <w:u w:color="auto" w:val="single"/>
        </w:rPr>
      </w:pPr>
      <w:r>
        <w:rPr>
          <w:b/>
          <w:bCs/>
          <w:color w:val="000000"/>
          <w:sz w:val="24"/>
          <w:szCs w:val="24"/>
          <w:u w:color="auto" w:val="single"/>
        </w:rPr>
        <w:t xml:space="preserve">Реализация региональных проектов и поступление нового оборудования </w:t>
      </w:r>
    </w:p>
    <w:p>
      <w:pPr>
        <w:ind w:firstLine="720"/>
        <w:spacing/>
        <w:contextualSpacing/>
        <w:jc w:val="center"/>
        <w:widowControl/>
        <w:rPr>
          <w:b/>
          <w:bCs/>
          <w:color w:val="000000"/>
          <w:sz w:val="24"/>
          <w:szCs w:val="24"/>
          <w:u w:color="auto" w:val="single"/>
        </w:rPr>
      </w:pPr>
      <w:r>
        <w:rPr>
          <w:b/>
          <w:bCs/>
          <w:color w:val="000000"/>
          <w:sz w:val="24"/>
          <w:szCs w:val="24"/>
          <w:u w:color="auto" w:val="single"/>
        </w:rPr>
        <w:t>в 2025 году</w:t>
      </w:r>
    </w:p>
    <w:p>
      <w:pPr>
        <w:ind w:firstLine="540"/>
        <w:spacing/>
        <w:jc w:val="both"/>
        <w:rPr>
          <w:color w:val="000000"/>
          <w:sz w:val="24"/>
          <w:szCs w:val="24"/>
        </w:rPr>
      </w:pPr>
      <w:r>
        <w:rPr>
          <w:color w:val="000000"/>
          <w:sz w:val="24"/>
          <w:szCs w:val="24"/>
        </w:rPr>
        <w:t xml:space="preserve">В рамках программы  </w:t>
      </w:r>
      <w:r>
        <w:rPr>
          <w:b/>
          <w:bCs/>
          <w:i/>
          <w:iCs/>
          <w:color w:val="000000"/>
          <w:sz w:val="24"/>
          <w:szCs w:val="24"/>
        </w:rPr>
        <w:t>«Модернизация первичного звена здравоохранения Кемеровской области-Кузбасса на 2021-2025г.»</w:t>
      </w:r>
      <w:r>
        <w:rPr>
          <w:color w:val="000000"/>
          <w:sz w:val="24"/>
          <w:szCs w:val="24"/>
        </w:rPr>
        <w:t xml:space="preserve"> в течение  2022 – 2024 г.г. подрядная организация  проводила капитальный ремонт поликлиники №2 по адресу пер. Профессиональный, 12. Выполнены следующие виды работ: ремонт кровли и фасада; благоустройство прилегающий территории; замена окон; монтаж системы отопления, водоснабжения и канализации; ремонт помещений и кабинетов. В декабре 2024 года капитальный ремонт поликлиники завершен.  Торжественное открытие поликлиники № 2 после проведения капитального ремонта проведено 13.02.2025 года.  Поликлиника возобновила работу в полном объёме с 17 февраля 2025 года.</w:t>
      </w:r>
    </w:p>
    <w:p>
      <w:pPr>
        <w:ind w:firstLine="540"/>
        <w:spacing/>
        <w:jc w:val="both"/>
        <w:rPr>
          <w:color w:val="000000"/>
          <w:sz w:val="24"/>
          <w:szCs w:val="24"/>
        </w:rPr>
      </w:pPr>
      <w:r>
        <w:rPr>
          <w:b/>
          <w:color w:val="000000"/>
          <w:sz w:val="24"/>
          <w:szCs w:val="24"/>
        </w:rPr>
        <w:t xml:space="preserve"> </w:t>
      </w:r>
      <w:r>
        <w:rPr>
          <w:color w:val="000000"/>
          <w:sz w:val="24"/>
          <w:szCs w:val="24"/>
        </w:rPr>
        <w:t xml:space="preserve">За 9 месяцев 2025 года  в рамках государственной программы  Кемеровской области - Кузбасса  </w:t>
      </w:r>
      <w:r>
        <w:rPr>
          <w:b/>
          <w:bCs/>
          <w:i/>
          <w:iCs/>
          <w:color w:val="000000"/>
          <w:sz w:val="24"/>
          <w:szCs w:val="24"/>
        </w:rPr>
        <w:t>«Развитие здравоохранения Кузбасса »</w:t>
      </w:r>
      <w:r>
        <w:rPr>
          <w:color w:val="000000"/>
          <w:sz w:val="24"/>
          <w:szCs w:val="24"/>
        </w:rPr>
        <w:t xml:space="preserve">  и  </w:t>
      </w:r>
      <w:r>
        <w:rPr>
          <w:b/>
          <w:bCs/>
          <w:i/>
          <w:iCs/>
          <w:color w:val="000000"/>
          <w:sz w:val="24"/>
          <w:szCs w:val="24"/>
        </w:rPr>
        <w:t>«Мероприятий по развитию системы паллиативной медицинской помощи»</w:t>
      </w:r>
      <w:r>
        <w:rPr>
          <w:color w:val="000000"/>
          <w:sz w:val="24"/>
          <w:szCs w:val="24"/>
        </w:rPr>
        <w:t xml:space="preserve"> в отделение сестринского ухода ГАУЗ АСГБ  поступило    новое   медицинское  оборудование  на сумму 272 947 руб. (помпа для энтерального питания Nutricare-300V, 5 кроватей металлических общебольничных, дозатор шприцевой портативный лекарственных средств с принадлежностями, шкаф медицинский и 5 тумб медицинских).</w:t>
      </w:r>
    </w:p>
    <w:p>
      <w:pPr>
        <w:ind w:firstLine="708"/>
        <w:spacing/>
        <w:jc w:val="both"/>
        <w:rPr>
          <w:color w:val="000000"/>
          <w:sz w:val="24"/>
          <w:szCs w:val="24"/>
        </w:rPr>
      </w:pPr>
      <w:r>
        <w:rPr>
          <w:color w:val="000000"/>
          <w:sz w:val="24"/>
          <w:szCs w:val="24"/>
        </w:rPr>
        <w:t xml:space="preserve">В рамках национального проекта </w:t>
      </w:r>
      <w:r>
        <w:rPr>
          <w:b/>
          <w:bCs/>
          <w:i/>
          <w:iCs/>
          <w:color w:val="000000"/>
          <w:sz w:val="24"/>
          <w:szCs w:val="24"/>
        </w:rPr>
        <w:t>«Продолжительная и активная жизнь»</w:t>
      </w:r>
      <w:r>
        <w:rPr>
          <w:color w:val="000000"/>
          <w:sz w:val="24"/>
          <w:szCs w:val="24"/>
        </w:rPr>
        <w:t xml:space="preserve">  регионального проекта   </w:t>
      </w:r>
      <w:r>
        <w:rPr>
          <w:b/>
          <w:bCs/>
          <w:i/>
          <w:iCs/>
          <w:color w:val="000000"/>
          <w:sz w:val="24"/>
          <w:szCs w:val="24"/>
        </w:rPr>
        <w:t xml:space="preserve">«Модернизация первичного звена здравоохранения» </w:t>
      </w:r>
      <w:r>
        <w:rPr>
          <w:color w:val="000000"/>
          <w:sz w:val="24"/>
          <w:szCs w:val="24"/>
        </w:rPr>
        <w:t xml:space="preserve">в   2025 году  проводится  капитальный ремонт    поликлиники № 4 по адресу   ул. К.Маркса,16  и  поликлиники №5 по адресу ул. 50-летия Октября, 4. </w:t>
        <w:tab/>
        <w:t>03.02.2025 подрядная организация приступила к проведению капитального ремонта поликлиники № 4.  31.07.2025 года   капитальный ремонт помещений поликлиники завершен. Выполнены работы по ремонту помещений 1 этажа поликлиники: заливка и стяжка пола, ремонт стен и потолков, замена оконных блоков замена отопления и сантехники по всей поликлинике.</w:t>
      </w:r>
    </w:p>
    <w:p>
      <w:pPr>
        <w:ind w:firstLine="709"/>
        <w:spacing/>
        <w:jc w:val="both"/>
        <w:rPr>
          <w:color w:val="000000"/>
          <w:sz w:val="24"/>
          <w:szCs w:val="24"/>
        </w:rPr>
      </w:pPr>
      <w:r>
        <w:rPr>
          <w:color w:val="000000"/>
          <w:sz w:val="24"/>
          <w:szCs w:val="24"/>
        </w:rPr>
        <w:t>16.04.2025  начался капитальный ремонт  поликлиники №5 по адресу  ул. 50-летия Октября, 4. На отчетный период 2025 года  практически завершен ремонт в поликлинике:  отделка внутренних помещений находится в завершающей стадии, полностью завершены работы по капитальному ремонту системы отопления, заменены окна. Монтаж дверей и дверных откосов запланирован в срок до 20.10.2025г.  Все работы будут завершены в срок до 01.11.2025г.</w:t>
      </w:r>
    </w:p>
    <w:p>
      <w:pPr>
        <w:ind w:firstLine="709"/>
        <w:spacing/>
        <w:jc w:val="both"/>
        <w:rPr>
          <w:color w:val="000000"/>
          <w:sz w:val="24"/>
          <w:szCs w:val="24"/>
        </w:rPr>
      </w:pPr>
      <w:r>
        <w:rPr>
          <w:color w:val="000000"/>
          <w:sz w:val="24"/>
          <w:szCs w:val="24"/>
        </w:rPr>
        <w:t xml:space="preserve">В настоящее время производится капитальный ремонт помещений корпуса №2 (подготовка помещений под установку МРТ). Полностью завершены работы по возведению внутренних перегородок, подведено отопление, горячее и холодное водоснабжение, канализация, выполнены работы по подключению к электросети. Полностью завершены работы по оштукатуриванию, приступили к отделке стен плиткой.  Продолжаются работы по окончательной заливке полов. Установлены оконные блоки. Ожидаемый срок для возможности поставки первоначальной части оборудования после 15.10.2025 г. </w:t>
      </w:r>
    </w:p>
    <w:p>
      <w:pPr>
        <w:ind w:firstLine="709"/>
        <w:spacing/>
        <w:jc w:val="both"/>
        <w:rPr>
          <w:color w:val="000000"/>
          <w:sz w:val="24"/>
          <w:szCs w:val="24"/>
        </w:rPr>
      </w:pPr>
      <w:r>
        <w:rPr>
          <w:color w:val="000000"/>
          <w:sz w:val="24"/>
          <w:szCs w:val="24"/>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lang w:eastAsia="en-us"/>
        </w:rPr>
      </w:pPr>
      <w:r>
        <w:rPr>
          <w:color w:val="000000"/>
          <w:sz w:val="24"/>
          <w:szCs w:val="24"/>
          <w:lang w:eastAsia="en-us"/>
        </w:rP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lang w:eastAsia="en-us"/>
        </w:rPr>
      </w:pPr>
      <w:r>
        <w:rPr>
          <w:color w:val="000000"/>
          <w:sz w:val="24"/>
          <w:szCs w:val="24"/>
          <w:lang w:eastAsia="en-us"/>
        </w:rPr>
      </w:r>
    </w:p>
    <w:p>
      <w:pPr>
        <w:spacing/>
        <w:contextualSpacing/>
        <w:jc w:val="center"/>
        <w:widowControl/>
        <w:rPr>
          <w:b/>
          <w:bCs/>
          <w:color w:val="000000"/>
          <w:sz w:val="24"/>
          <w:szCs w:val="24"/>
        </w:rPr>
      </w:pPr>
      <w:r>
        <w:rPr>
          <w:b/>
          <w:bCs/>
          <w:color w:val="000000"/>
          <w:sz w:val="24"/>
          <w:szCs w:val="24"/>
        </w:rPr>
        <w:t>14. СОЦИАЛЬНАЯ ЗАЩИТА НАСЕЛЕНИЯ</w:t>
      </w:r>
    </w:p>
    <w:p>
      <w:pPr>
        <w:ind w:firstLine="708"/>
        <w:spacing/>
        <w:contextualSpacing/>
        <w:jc w:val="both"/>
        <w:widowControl/>
        <w:rPr>
          <w:b/>
          <w:bCs/>
          <w:color w:val="000000"/>
          <w:sz w:val="24"/>
          <w:szCs w:val="24"/>
        </w:rPr>
      </w:pPr>
      <w:r>
        <w:rPr>
          <w:b/>
          <w:bCs/>
          <w:color w:val="000000"/>
          <w:sz w:val="24"/>
          <w:szCs w:val="24"/>
        </w:rPr>
        <w:tab/>
      </w:r>
    </w:p>
    <w:p>
      <w:pPr>
        <w:ind w:firstLine="709"/>
        <w:spacing/>
        <w:jc w:val="both"/>
        <w:rPr>
          <w:color w:val="000000"/>
          <w:kern w:val="1"/>
          <w:sz w:val="24"/>
          <w:szCs w:val="24"/>
          <w:lang w:eastAsia="ru-ru"/>
        </w:rPr>
      </w:pPr>
      <w:r>
        <w:rPr>
          <w:color w:val="000000"/>
          <w:kern w:val="1"/>
          <w:sz w:val="24"/>
          <w:szCs w:val="24"/>
          <w:lang w:eastAsia="ru-ru"/>
        </w:rPr>
        <w:tab/>
        <w:t xml:space="preserve">На учете в управлении социальной защиты населения состоит  </w:t>
      </w:r>
      <w:r>
        <w:rPr>
          <w:b/>
          <w:color w:val="000000"/>
          <w:kern w:val="1"/>
          <w:sz w:val="24"/>
          <w:szCs w:val="24"/>
          <w:lang w:eastAsia="ru-ru"/>
        </w:rPr>
        <w:t xml:space="preserve">955 </w:t>
      </w:r>
      <w:r>
        <w:rPr>
          <w:color w:val="000000"/>
          <w:kern w:val="1"/>
          <w:sz w:val="24"/>
          <w:szCs w:val="24"/>
          <w:lang w:eastAsia="ru-ru"/>
        </w:rPr>
        <w:t xml:space="preserve">многодетных семей, воспитывающих 3 и более несовершеннолетних детей (3409 детей); </w:t>
      </w:r>
      <w:r>
        <w:rPr>
          <w:b/>
          <w:color w:val="000000"/>
          <w:kern w:val="1"/>
          <w:sz w:val="24"/>
          <w:szCs w:val="24"/>
          <w:lang w:eastAsia="ru-ru"/>
        </w:rPr>
        <w:t xml:space="preserve">352 </w:t>
      </w:r>
      <w:r>
        <w:rPr>
          <w:color w:val="000000"/>
          <w:kern w:val="1"/>
          <w:sz w:val="24"/>
          <w:szCs w:val="24"/>
          <w:lang w:eastAsia="ru-ru"/>
        </w:rPr>
        <w:t>семьи, воспитывающих детей-инвалидов в возрасте до 18 лет (388 детей);</w:t>
      </w:r>
      <w:r>
        <w:rPr>
          <w:b/>
          <w:color w:val="000000"/>
          <w:kern w:val="1"/>
          <w:sz w:val="24"/>
          <w:szCs w:val="24"/>
          <w:lang w:eastAsia="ru-ru"/>
        </w:rPr>
        <w:t xml:space="preserve"> 15607</w:t>
      </w:r>
      <w:r>
        <w:rPr>
          <w:color w:val="000000"/>
          <w:kern w:val="1"/>
          <w:sz w:val="24"/>
          <w:szCs w:val="24"/>
          <w:lang w:eastAsia="ru-ru"/>
        </w:rPr>
        <w:t xml:space="preserve"> человек относящ ие к льготной категории граждан (ветеран труда, реабилитированный, инвалид 1-3 гр., участники ВОВ, вдовы участников ВОВ, труженики тыла и др.).</w:t>
      </w:r>
    </w:p>
    <w:p>
      <w:pPr>
        <w:pStyle w:val="para121"/>
        <w:ind w:firstLine="709"/>
        <w:spacing/>
        <w:jc w:val="both"/>
        <w:rPr>
          <w:rFonts w:ascii="Times New Roman" w:hAnsi="Times New Roman" w:eastAsia="Times New Roman" w:cs="Times New Roman"/>
          <w:iCs/>
          <w:color w:val="000000"/>
          <w:sz w:val="24"/>
        </w:rPr>
      </w:pPr>
      <w:r>
        <w:rPr>
          <w:rFonts w:ascii="Times New Roman" w:hAnsi="Times New Roman" w:eastAsia="Times New Roman" w:cs="Times New Roman"/>
          <w:color w:val="000000"/>
          <w:sz w:val="24"/>
        </w:rPr>
        <w:t xml:space="preserve">За отчётный период осуществлена выплата </w:t>
      </w:r>
      <w:r>
        <w:rPr>
          <w:rFonts w:ascii="Times New Roman" w:hAnsi="Times New Roman" w:eastAsia="Times New Roman" w:cs="Times New Roman"/>
          <w:b/>
          <w:bCs/>
          <w:iCs/>
          <w:color w:val="000000"/>
          <w:sz w:val="24"/>
        </w:rPr>
        <w:t xml:space="preserve">15331 </w:t>
      </w:r>
      <w:r>
        <w:rPr>
          <w:rFonts w:ascii="Times New Roman" w:hAnsi="Times New Roman" w:eastAsia="Times New Roman" w:cs="Times New Roman"/>
          <w:iCs/>
          <w:color w:val="000000"/>
          <w:sz w:val="24"/>
        </w:rPr>
        <w:t xml:space="preserve">гражданам, имеющим право на компенсацию за ЖКУ на сумму </w:t>
      </w:r>
      <w:r>
        <w:rPr>
          <w:rFonts w:ascii="Times New Roman" w:hAnsi="Times New Roman" w:eastAsia="Times New Roman" w:cs="Times New Roman"/>
          <w:b/>
          <w:bCs/>
          <w:iCs/>
          <w:color w:val="000000"/>
          <w:sz w:val="24"/>
        </w:rPr>
        <w:t xml:space="preserve">132 453,49 </w:t>
      </w:r>
      <w:r>
        <w:rPr>
          <w:rFonts w:ascii="Times New Roman" w:hAnsi="Times New Roman" w:eastAsia="Times New Roman" w:cs="Times New Roman"/>
          <w:b/>
          <w:iCs/>
          <w:color w:val="000000"/>
          <w:sz w:val="24"/>
        </w:rPr>
        <w:t xml:space="preserve">тыс. руб. </w:t>
      </w:r>
      <w:r>
        <w:rPr>
          <w:rFonts w:ascii="Times New Roman" w:hAnsi="Times New Roman" w:eastAsia="Times New Roman" w:cs="Times New Roman"/>
          <w:iCs/>
          <w:color w:val="000000"/>
          <w:sz w:val="24"/>
        </w:rPr>
        <w:t>Субсидии на оплату жилого помещения и коммунальных услуг за отчетный период  предоставлено</w:t>
      </w:r>
      <w:r>
        <w:rPr>
          <w:rFonts w:ascii="Times New Roman" w:hAnsi="Times New Roman" w:eastAsia="Times New Roman" w:cs="Times New Roman"/>
          <w:b/>
          <w:iCs/>
          <w:color w:val="000000"/>
          <w:sz w:val="24"/>
        </w:rPr>
        <w:t xml:space="preserve"> 2214 </w:t>
      </w:r>
      <w:r>
        <w:rPr>
          <w:rFonts w:ascii="Times New Roman" w:hAnsi="Times New Roman" w:eastAsia="Times New Roman" w:cs="Times New Roman"/>
          <w:iCs/>
          <w:color w:val="000000"/>
          <w:sz w:val="24"/>
        </w:rPr>
        <w:t>семьям на сумму</w:t>
      </w:r>
      <w:r>
        <w:rPr>
          <w:rFonts w:ascii="Times New Roman" w:hAnsi="Times New Roman" w:eastAsia="Times New Roman" w:cs="Times New Roman"/>
          <w:b/>
          <w:iCs/>
          <w:color w:val="000000"/>
          <w:sz w:val="24"/>
        </w:rPr>
        <w:t xml:space="preserve"> –  66103,67 тыс. руб. </w:t>
      </w:r>
      <w:r>
        <w:rPr>
          <w:rFonts w:ascii="Times New Roman" w:hAnsi="Times New Roman" w:eastAsia="Times New Roman" w:cs="Times New Roman"/>
          <w:iCs/>
          <w:color w:val="000000"/>
          <w:sz w:val="24"/>
        </w:rPr>
        <w:t>Государственной социальной</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помощи в виде социального контракта за отчетный период оказано</w:t>
      </w:r>
      <w:r>
        <w:rPr>
          <w:rFonts w:ascii="Times New Roman" w:hAnsi="Times New Roman" w:eastAsia="Times New Roman" w:cs="Times New Roman"/>
          <w:b/>
          <w:bCs/>
          <w:iCs/>
          <w:color w:val="000000"/>
          <w:sz w:val="24"/>
        </w:rPr>
        <w:t xml:space="preserve"> 152</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получателям на сумму </w:t>
      </w:r>
      <w:r>
        <w:rPr>
          <w:rFonts w:ascii="Times New Roman" w:hAnsi="Times New Roman" w:eastAsia="Times New Roman" w:cs="Times New Roman"/>
          <w:b/>
          <w:bCs/>
          <w:iCs/>
          <w:color w:val="000000"/>
          <w:sz w:val="24"/>
        </w:rPr>
        <w:t>19 411,21 тыс.руб</w:t>
      </w:r>
      <w:r>
        <w:rPr>
          <w:rFonts w:ascii="Times New Roman" w:hAnsi="Times New Roman" w:eastAsia="Times New Roman" w:cs="Times New Roman"/>
          <w:b/>
          <w:iCs/>
          <w:color w:val="000000"/>
          <w:sz w:val="24"/>
        </w:rPr>
        <w:t>.</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В рамках</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реализации национального проекта </w:t>
      </w:r>
      <w:r>
        <w:rPr>
          <w:rFonts w:ascii="Times New Roman" w:hAnsi="Times New Roman" w:eastAsia="Times New Roman" w:cs="Times New Roman"/>
          <w:b/>
          <w:bCs/>
          <w:i/>
          <w:iCs/>
          <w:color w:val="000000"/>
          <w:sz w:val="24"/>
        </w:rPr>
        <w:t>«Семья»</w:t>
      </w:r>
      <w:r>
        <w:rPr>
          <w:rFonts w:ascii="Times New Roman" w:hAnsi="Times New Roman" w:eastAsia="Times New Roman" w:cs="Times New Roman"/>
          <w:iCs/>
          <w:color w:val="000000"/>
          <w:sz w:val="24"/>
        </w:rPr>
        <w:t xml:space="preserve"> в части региональных проектов </w:t>
      </w:r>
      <w:r>
        <w:rPr>
          <w:rFonts w:ascii="Times New Roman" w:hAnsi="Times New Roman" w:eastAsia="Times New Roman" w:cs="Times New Roman"/>
          <w:b/>
          <w:bCs/>
          <w:i/>
          <w:iCs/>
          <w:color w:val="000000"/>
          <w:sz w:val="24"/>
        </w:rPr>
        <w:t>«Поддержка семей»</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b/>
          <w:bCs/>
          <w:i/>
          <w:iCs/>
          <w:color w:val="000000"/>
          <w:sz w:val="24"/>
        </w:rPr>
        <w:t>«Многодетные семьи»</w:t>
      </w:r>
      <w:r>
        <w:rPr>
          <w:rFonts w:ascii="Times New Roman" w:hAnsi="Times New Roman" w:eastAsia="Times New Roman" w:cs="Times New Roman"/>
          <w:iCs/>
          <w:color w:val="000000"/>
          <w:sz w:val="24"/>
        </w:rPr>
        <w:t xml:space="preserve"> за отчетный период осуществлена выплата по мерам социальной поддержки семей с детьми в сумме  </w:t>
      </w:r>
      <w:r>
        <w:rPr>
          <w:rFonts w:ascii="Times New Roman" w:hAnsi="Times New Roman" w:eastAsia="Times New Roman" w:cs="Times New Roman"/>
          <w:b/>
          <w:iCs/>
          <w:color w:val="000000"/>
          <w:sz w:val="24"/>
        </w:rPr>
        <w:t>46531,8</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b/>
          <w:iCs/>
          <w:color w:val="000000"/>
          <w:sz w:val="24"/>
        </w:rPr>
        <w:t>тыс. руб.</w:t>
      </w:r>
      <w:r>
        <w:rPr>
          <w:rFonts w:ascii="Times New Roman" w:hAnsi="Times New Roman" w:eastAsia="Times New Roman" w:cs="Times New Roman"/>
          <w:iCs/>
          <w:color w:val="000000"/>
          <w:sz w:val="24"/>
        </w:rPr>
        <w:t xml:space="preserve"> из них выплачено средств областного материнского капитала на сумму </w:t>
      </w:r>
      <w:r>
        <w:rPr>
          <w:rFonts w:ascii="Times New Roman" w:hAnsi="Times New Roman" w:eastAsia="Times New Roman" w:cs="Times New Roman"/>
          <w:b/>
          <w:bCs/>
          <w:iCs/>
          <w:color w:val="000000"/>
          <w:sz w:val="24"/>
        </w:rPr>
        <w:t xml:space="preserve"> 982,1</w:t>
      </w:r>
      <w:r>
        <w:rPr>
          <w:rFonts w:ascii="Times New Roman" w:hAnsi="Times New Roman" w:eastAsia="Times New Roman" w:cs="Times New Roman"/>
          <w:b/>
          <w:iCs/>
          <w:color w:val="000000"/>
          <w:sz w:val="24"/>
        </w:rPr>
        <w:t xml:space="preserve"> тыс. руб</w:t>
      </w:r>
      <w:r>
        <w:rPr>
          <w:rFonts w:ascii="Times New Roman" w:hAnsi="Times New Roman" w:eastAsia="Times New Roman" w:cs="Times New Roman"/>
          <w:iCs/>
          <w:color w:val="000000"/>
          <w:sz w:val="24"/>
        </w:rPr>
        <w:t>.</w:t>
      </w:r>
      <w:r>
        <w:rPr>
          <w:rFonts w:ascii="Times New Roman" w:hAnsi="Times New Roman" w:eastAsia="Times New Roman" w:cs="Times New Roman"/>
          <w:iCs/>
          <w:color w:val="000000"/>
          <w:sz w:val="24"/>
        </w:rPr>
      </w:r>
    </w:p>
    <w:p>
      <w:pPr>
        <w:pStyle w:val="para93"/>
        <w:ind w:firstLine="708"/>
        <w:spacing/>
        <w:jc w:val="both"/>
        <w:rPr>
          <w:rFonts w:ascii="Times New Roman" w:hAnsi="Times New Roman" w:cs="Times New Roman"/>
          <w:b/>
          <w:iCs/>
          <w:color w:val="000000"/>
          <w:sz w:val="24"/>
          <w:szCs w:val="24"/>
        </w:rPr>
      </w:pPr>
      <w:r>
        <w:rPr>
          <w:rFonts w:ascii="Times New Roman" w:hAnsi="Times New Roman" w:cs="Times New Roman"/>
          <w:color w:val="000000"/>
          <w:sz w:val="24"/>
          <w:szCs w:val="24"/>
        </w:rPr>
        <w:t xml:space="preserve">По состоянию на 01.10.2025г. на учете в управлении состоит 121 совершеннолетних недееспособных граждан, над которыми установлена опека и 123 опекуна. Социальное пособие на погребение выплачено на </w:t>
      </w:r>
      <w:r>
        <w:rPr>
          <w:rFonts w:ascii="Times New Roman" w:hAnsi="Times New Roman" w:cs="Times New Roman"/>
          <w:b/>
          <w:bCs/>
          <w:iCs/>
          <w:color w:val="000000"/>
          <w:sz w:val="24"/>
          <w:szCs w:val="24"/>
        </w:rPr>
        <w:t>83</w:t>
      </w:r>
      <w:r>
        <w:rPr>
          <w:rFonts w:ascii="Times New Roman" w:hAnsi="Times New Roman" w:cs="Times New Roman"/>
          <w:b/>
          <w:iCs/>
          <w:color w:val="000000"/>
          <w:sz w:val="24"/>
          <w:szCs w:val="24"/>
        </w:rPr>
        <w:t xml:space="preserve"> чел</w:t>
      </w:r>
      <w:r>
        <w:rPr>
          <w:rFonts w:ascii="Times New Roman" w:hAnsi="Times New Roman" w:cs="Times New Roman"/>
          <w:iCs/>
          <w:color w:val="000000"/>
          <w:sz w:val="24"/>
          <w:szCs w:val="24"/>
        </w:rPr>
        <w:t xml:space="preserve">. в сумме </w:t>
      </w:r>
      <w:r>
        <w:rPr>
          <w:rFonts w:ascii="Times New Roman" w:hAnsi="Times New Roman" w:cs="Times New Roman"/>
          <w:b/>
          <w:bCs/>
          <w:iCs/>
          <w:color w:val="000000"/>
          <w:sz w:val="24"/>
          <w:szCs w:val="24"/>
        </w:rPr>
        <w:t>970,34</w:t>
      </w:r>
      <w:r>
        <w:rPr>
          <w:rFonts w:ascii="Times New Roman" w:hAnsi="Times New Roman" w:cs="Times New Roman"/>
          <w:b/>
          <w:iCs/>
          <w:color w:val="000000"/>
          <w:sz w:val="24"/>
          <w:szCs w:val="24"/>
        </w:rPr>
        <w:t xml:space="preserve">  тыс. руб.</w:t>
      </w:r>
      <w:r>
        <w:rPr>
          <w:rFonts w:ascii="Times New Roman" w:hAnsi="Times New Roman" w:cs="Times New Roman"/>
          <w:b/>
          <w:iCs/>
          <w:color w:val="000000"/>
          <w:sz w:val="24"/>
          <w:szCs w:val="24"/>
        </w:rPr>
      </w:r>
    </w:p>
    <w:p>
      <w:pPr>
        <w:pStyle w:val="para93"/>
        <w:ind w:firstLine="708"/>
        <w:spacing/>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Произведены выплаты пенсии за выслугу лет лицам, замещавшим муниципальные должности и должности муниципальной службы на сумму </w:t>
      </w:r>
      <w:r>
        <w:rPr>
          <w:rFonts w:ascii="Times New Roman" w:hAnsi="Times New Roman" w:cs="Times New Roman"/>
          <w:b/>
          <w:bCs/>
          <w:iCs/>
          <w:color w:val="000000"/>
          <w:sz w:val="24"/>
          <w:szCs w:val="24"/>
        </w:rPr>
        <w:t>14 418,3 тыс. руб.</w:t>
      </w:r>
      <w:r>
        <w:rPr>
          <w:rFonts w:ascii="Times New Roman" w:hAnsi="Times New Roman" w:cs="Times New Roman"/>
          <w:iCs/>
          <w:color w:val="000000"/>
          <w:sz w:val="24"/>
          <w:szCs w:val="24"/>
        </w:rPr>
        <w:t xml:space="preserve"> (по состоянию на 01.10.2025г. – </w:t>
      </w:r>
      <w:r>
        <w:rPr>
          <w:rFonts w:ascii="Times New Roman" w:hAnsi="Times New Roman" w:cs="Times New Roman"/>
          <w:b/>
          <w:iCs/>
          <w:color w:val="000000"/>
          <w:sz w:val="24"/>
          <w:szCs w:val="24"/>
        </w:rPr>
        <w:t xml:space="preserve">76 </w:t>
      </w:r>
      <w:r>
        <w:rPr>
          <w:rFonts w:ascii="Times New Roman" w:hAnsi="Times New Roman" w:cs="Times New Roman"/>
          <w:iCs/>
          <w:color w:val="000000"/>
          <w:sz w:val="24"/>
          <w:szCs w:val="24"/>
        </w:rPr>
        <w:t>получателя).</w:t>
      </w:r>
      <w:r>
        <w:rPr>
          <w:rFonts w:ascii="Times New Roman" w:hAnsi="Times New Roman" w:cs="Times New Roman"/>
          <w:iCs/>
          <w:color w:val="000000"/>
          <w:sz w:val="24"/>
          <w:szCs w:val="24"/>
        </w:rPr>
      </w:r>
    </w:p>
    <w:p>
      <w:pPr>
        <w:pStyle w:val="para127"/>
        <w:ind w:firstLine="708"/>
        <w:spacing/>
        <w:jc w:val="both"/>
        <w:rPr>
          <w:iCs/>
          <w:color w:val="000000"/>
          <w:sz w:val="24"/>
          <w:szCs w:val="24"/>
        </w:rPr>
      </w:pPr>
      <w:r>
        <w:rPr>
          <w:b w:val="0"/>
          <w:color w:val="000000"/>
          <w:sz w:val="24"/>
          <w:szCs w:val="24"/>
        </w:rPr>
        <w:t xml:space="preserve">Адресную помощь из средств городской программы «Социальная поддержка населения Анжеро-Судженского городского округа» на 2022-2026гг.» подпрограммы «Милосердие» получили </w:t>
      </w:r>
      <w:r>
        <w:rPr>
          <w:iCs/>
          <w:color w:val="000000"/>
          <w:sz w:val="24"/>
          <w:szCs w:val="24"/>
        </w:rPr>
        <w:t>1035 человек</w:t>
      </w:r>
      <w:r>
        <w:rPr>
          <w:b w:val="0"/>
          <w:iCs/>
          <w:color w:val="000000"/>
          <w:sz w:val="24"/>
          <w:szCs w:val="24"/>
        </w:rPr>
        <w:t xml:space="preserve"> на сумму </w:t>
      </w:r>
      <w:r>
        <w:rPr>
          <w:iCs/>
          <w:color w:val="000000"/>
          <w:sz w:val="24"/>
          <w:szCs w:val="24"/>
        </w:rPr>
        <w:t>11 553,0</w:t>
      </w:r>
      <w:r>
        <w:rPr>
          <w:b w:val="0"/>
          <w:bCs w:val="0"/>
          <w:iCs/>
          <w:color w:val="000000"/>
          <w:sz w:val="24"/>
          <w:szCs w:val="24"/>
        </w:rPr>
        <w:t xml:space="preserve"> </w:t>
      </w:r>
      <w:r>
        <w:rPr>
          <w:iCs/>
          <w:color w:val="000000"/>
          <w:sz w:val="24"/>
          <w:szCs w:val="24"/>
        </w:rPr>
        <w:t xml:space="preserve">тыс. руб. </w:t>
      </w:r>
      <w:r>
        <w:rPr>
          <w:iCs/>
          <w:color w:val="000000"/>
          <w:sz w:val="24"/>
          <w:szCs w:val="24"/>
        </w:rPr>
      </w:r>
    </w:p>
    <w:p>
      <w:pPr>
        <w:pStyle w:val="para127"/>
        <w:ind w:firstLine="708"/>
        <w:spacing/>
        <w:jc w:val="both"/>
        <w:rPr>
          <w:iCs/>
          <w:color w:val="000000"/>
          <w:sz w:val="24"/>
          <w:szCs w:val="24"/>
        </w:rPr>
      </w:pPr>
      <w:r>
        <w:rPr>
          <w:b w:val="0"/>
          <w:color w:val="000000"/>
          <w:sz w:val="24"/>
          <w:szCs w:val="24"/>
        </w:rPr>
        <w:t xml:space="preserve">Общественными организациями города в рамках заключенных соглашений, из средств местного бюджета, получили целевые субсидии в отчетном периоде на сумму </w:t>
      </w:r>
      <w:r>
        <w:rPr>
          <w:iCs/>
          <w:color w:val="000000"/>
          <w:sz w:val="24"/>
          <w:szCs w:val="24"/>
        </w:rPr>
        <w:t>1540,9  тыс. руб.</w:t>
      </w:r>
      <w:r>
        <w:rPr>
          <w:iCs/>
          <w:color w:val="000000"/>
          <w:sz w:val="24"/>
          <w:szCs w:val="24"/>
        </w:rPr>
      </w:r>
    </w:p>
    <w:p>
      <w:pPr>
        <w:pStyle w:val="para127"/>
        <w:ind w:firstLine="708"/>
        <w:spacing w:after="240"/>
        <w:jc w:val="both"/>
        <w:rPr>
          <w:b w:val="0"/>
          <w:iCs/>
          <w:color w:val="000000"/>
          <w:sz w:val="24"/>
          <w:szCs w:val="24"/>
        </w:rPr>
      </w:pPr>
      <w:r>
        <w:rPr>
          <w:b w:val="0"/>
          <w:color w:val="000000"/>
          <w:sz w:val="24"/>
          <w:szCs w:val="24"/>
        </w:rPr>
        <w:t xml:space="preserve">По вопросу оформления в дома-интернаты за отчетный период на </w:t>
      </w:r>
      <w:r>
        <w:rPr>
          <w:iCs/>
          <w:color w:val="000000"/>
          <w:sz w:val="24"/>
          <w:szCs w:val="24"/>
        </w:rPr>
        <w:t>18 чел.</w:t>
      </w:r>
      <w:r>
        <w:rPr>
          <w:b w:val="0"/>
          <w:iCs/>
          <w:color w:val="000000"/>
          <w:sz w:val="24"/>
          <w:szCs w:val="24"/>
        </w:rPr>
        <w:t xml:space="preserve"> из Министерства социальной защиты населения Кузбасса получены путевки для определения их в дома-интернаты.</w:t>
      </w:r>
      <w:r>
        <w:rPr>
          <w:b w:val="0"/>
          <w:iCs/>
          <w:color w:val="000000"/>
          <w:sz w:val="24"/>
          <w:szCs w:val="24"/>
        </w:rPr>
      </w:r>
    </w:p>
    <w:p>
      <w:pPr>
        <w:ind w:firstLine="708"/>
        <w:spacing/>
        <w:jc w:val="both"/>
        <w:rPr>
          <w:rFonts w:ascii="PT Astra Serif" w:hAnsi="PT Astra Serif" w:eastAsia="Source Han Sans CN Regular" w:cs="Lohit Devanagari"/>
          <w:iCs/>
          <w:color w:val="000000"/>
          <w:kern w:val="1"/>
          <w:sz w:val="28"/>
          <w:szCs w:val="24"/>
          <w:lang w:eastAsia="ru-ru"/>
        </w:rPr>
      </w:pPr>
      <w:r>
        <w:rPr>
          <w:b/>
          <w:bCs/>
          <w:color w:val="000000"/>
          <w:sz w:val="24"/>
          <w:szCs w:val="24"/>
          <w:u w:color="auto" w:val="single"/>
        </w:rPr>
        <w:t>В МКУ АСГО «Социально-реабилитационный Центр для несовершеннолетних»</w:t>
      </w:r>
      <w:r>
        <w:rPr>
          <w:color w:val="000000"/>
          <w:sz w:val="24"/>
          <w:szCs w:val="24"/>
        </w:rPr>
        <w:t xml:space="preserve"> </w:t>
      </w:r>
      <w:r>
        <w:rPr>
          <w:iCs/>
          <w:color w:val="000000"/>
          <w:kern w:val="1"/>
          <w:sz w:val="24"/>
          <w:szCs w:val="24"/>
          <w:lang w:eastAsia="ru-ru"/>
        </w:rPr>
        <w:t>за  отчетный период в стационарное отделение Центра поступило 98 несовершеннолетних, возвращено в родные семьи – 57        несовершеннолетних, переданы под опеку – 10, направлены в государственные учреждения для детей-сирот – 9 несовершеннолетний, другие формы устройства — 5 несовершеннолетних.</w:t>
      </w:r>
      <w:r>
        <w:rPr>
          <w:rFonts w:ascii="PT Astra Serif" w:hAnsi="PT Astra Serif" w:eastAsia="Source Han Sans CN Regular" w:cs="Lohit Devanagari"/>
          <w:iCs/>
          <w:color w:val="000000"/>
          <w:kern w:val="1"/>
          <w:sz w:val="28"/>
          <w:szCs w:val="24"/>
          <w:lang w:eastAsia="ru-ru"/>
        </w:rPr>
      </w:r>
    </w:p>
    <w:p>
      <w:pPr>
        <w:ind w:firstLine="708"/>
        <w:spacing/>
        <w:jc w:val="both"/>
        <w:rPr>
          <w:color w:val="000000"/>
          <w:kern w:val="1"/>
          <w:sz w:val="24"/>
          <w:szCs w:val="24"/>
          <w:lang w:eastAsia="ru-ru"/>
        </w:rPr>
      </w:pPr>
      <w:r>
        <w:rPr>
          <w:color w:val="000000"/>
          <w:sz w:val="24"/>
          <w:szCs w:val="24"/>
        </w:rPr>
        <w:t xml:space="preserve">На базе </w:t>
      </w:r>
      <w:r>
        <w:rPr>
          <w:b/>
          <w:color w:val="000000"/>
          <w:sz w:val="24"/>
          <w:szCs w:val="24"/>
        </w:rPr>
        <w:t>приёмного отделения</w:t>
      </w:r>
      <w:r>
        <w:rPr>
          <w:color w:val="000000"/>
          <w:sz w:val="24"/>
          <w:szCs w:val="24"/>
        </w:rPr>
        <w:t xml:space="preserve"> продолжается работа специалистов по программе  </w:t>
      </w:r>
      <w:r>
        <w:rPr>
          <w:i/>
          <w:color w:val="000000"/>
          <w:sz w:val="24"/>
          <w:szCs w:val="24"/>
        </w:rPr>
        <w:t>«Социальный лифт»</w:t>
      </w:r>
      <w:r>
        <w:rPr>
          <w:color w:val="000000"/>
          <w:sz w:val="24"/>
          <w:szCs w:val="24"/>
        </w:rPr>
        <w:t xml:space="preserve"> по работе с многодетными семьями, находящимися в трудной жизненной ситуации. За отчетный период в рамках данного проекта 9 родителей прошли бесплатное противоалкогольное </w:t>
      </w:r>
      <w:r>
        <w:rPr>
          <w:color w:val="000000"/>
          <w:sz w:val="24"/>
          <w:szCs w:val="24"/>
          <w:lang w:eastAsia="ru-ru"/>
        </w:rPr>
        <w:t>лечение на базе  ГАУЗ  «Анжеро-Судженская городская больница (психоневрологический диспансер)», 4 родителей прошли бесплатное кодирование от алкогольной зависимости</w:t>
      </w:r>
      <w:r>
        <w:rPr>
          <w:color w:val="000000"/>
          <w:sz w:val="24"/>
          <w:szCs w:val="24"/>
        </w:rPr>
        <w:t xml:space="preserve">. Продолжает свою работу  служба  </w:t>
      </w:r>
      <w:r>
        <w:rPr>
          <w:i/>
          <w:color w:val="000000"/>
          <w:sz w:val="24"/>
          <w:szCs w:val="24"/>
        </w:rPr>
        <w:t>«Семейная диспетчерская»,</w:t>
      </w:r>
      <w:r>
        <w:rPr>
          <w:color w:val="000000"/>
          <w:sz w:val="24"/>
          <w:szCs w:val="24"/>
        </w:rPr>
        <w:t xml:space="preserve"> за отчётный период проведено 11 выездов:  </w:t>
      </w:r>
      <w:r>
        <w:rPr>
          <w:color w:val="000000"/>
          <w:sz w:val="24"/>
          <w:szCs w:val="24"/>
          <w:lang w:eastAsia="ru-ru"/>
        </w:rPr>
        <w:t xml:space="preserve"> </w:t>
      </w:r>
      <w:r>
        <w:rPr>
          <w:color w:val="000000"/>
          <w:kern w:val="1"/>
          <w:sz w:val="24"/>
          <w:szCs w:val="24"/>
          <w:lang w:eastAsia="ru-ru"/>
        </w:rPr>
        <w:t xml:space="preserve">по технологии  «Очно-заочный передвижной  консультативный  пункт» - 6 выездов,  27  семей  получили  консультативную помощь; по технологии «Ведение случая» - 5 выезда, посетили 25 семей. Так же проведены 3 онлайн – консультации,  в которых  приняли участие 36  </w:t>
      </w:r>
      <w:r>
        <w:rPr>
          <w:color w:val="000000"/>
          <w:kern w:val="1"/>
          <w:sz w:val="24"/>
          <w:szCs w:val="24"/>
          <w:lang w:eastAsia="ru-ru"/>
        </w:rPr>
        <w:t xml:space="preserve">родителей.   С апреля 2025 года в учреждении осуществляет свою работу Служба «Дети в семье»,  целью которой  является  повышение устойчивости семей в преодолении трудной жизненной ситуации. За отчетный период проведено 5 выездов, получили помощь 26 семей. </w:t>
      </w:r>
      <w:r>
        <w:rPr>
          <w:color w:val="000000"/>
          <w:kern w:val="1"/>
          <w:sz w:val="24"/>
          <w:szCs w:val="24"/>
          <w:lang w:eastAsia="ru-ru"/>
        </w:rPr>
      </w:r>
    </w:p>
    <w:p>
      <w:pPr>
        <w:ind w:firstLine="708"/>
        <w:spacing/>
        <w:jc w:val="both"/>
        <w:rPr>
          <w:color w:val="000000"/>
          <w:sz w:val="24"/>
          <w:szCs w:val="24"/>
          <w:lang w:eastAsia="ru-ru"/>
        </w:rPr>
      </w:pPr>
      <w:r>
        <w:rPr>
          <w:color w:val="000000"/>
          <w:sz w:val="24"/>
          <w:szCs w:val="24"/>
        </w:rPr>
        <w:t xml:space="preserve">В </w:t>
      </w:r>
      <w:r>
        <w:rPr>
          <w:b/>
          <w:color w:val="000000"/>
          <w:sz w:val="24"/>
          <w:szCs w:val="24"/>
        </w:rPr>
        <w:t>отделении социальной диагностики и реабилитации</w:t>
      </w:r>
      <w:r>
        <w:rPr>
          <w:color w:val="000000"/>
          <w:sz w:val="24"/>
          <w:szCs w:val="24"/>
        </w:rPr>
        <w:t xml:space="preserve"> в феврале 2025 года учреждение приняло участие в разработке грантового проекта совместно с Автономной некоммерческой организацией «Центр поддержки несовершеннолетних, оказавшихся в трудной жизненной ситуации «Планета Детства». Подано </w:t>
      </w:r>
      <w:r>
        <w:rPr>
          <w:color w:val="000000"/>
          <w:sz w:val="24"/>
          <w:szCs w:val="24"/>
          <w:lang w:eastAsia="ru-ru"/>
        </w:rPr>
        <w:t>две заявки на участие на второй конкурс 2025 года Фонда президентских грантов. В марте 2025 года подана заявка на участие во Всероссийском конкурсе профессионального мастерства в сфере социального обслуживания, ежегодно проводимый Минтрудом России среди сотрудников организаций социального обслуживания, входящих в реестр поставщиков социальных услуг, в специальной номинации «Открытие года». По результатам рассмотрения конкурсных материалов, регионального этапа, психолог в социальной сфере Узикова К.В. заняла второе место.</w:t>
      </w:r>
      <w:r>
        <w:rPr>
          <w:color w:val="000000"/>
          <w:sz w:val="24"/>
          <w:szCs w:val="24"/>
          <w:lang w:eastAsia="ru-ru"/>
        </w:rPr>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Продолжалась работа по программе </w:t>
      </w:r>
      <w:r>
        <w:rPr>
          <w:rFonts w:ascii="Times New Roman" w:hAnsi="Times New Roman" w:eastAsia="Times New Roman" w:cs="Times New Roman"/>
          <w:i/>
          <w:color w:val="000000"/>
          <w:sz w:val="24"/>
        </w:rPr>
        <w:t>«Новые горизонты»</w:t>
      </w:r>
      <w:r>
        <w:rPr>
          <w:rFonts w:ascii="Times New Roman" w:hAnsi="Times New Roman" w:eastAsia="Times New Roman" w:cs="Times New Roman"/>
          <w:color w:val="000000"/>
          <w:sz w:val="24"/>
        </w:rPr>
        <w:t xml:space="preserve"> с элементами детского фитнеса, а также занятия с подростками по программе «Планета права», направленной на профилактику правонарушений. Всего проведено 28 занятий, приняло участие 43 подростка. </w:t>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Продолжалась работа центра социально-трудовой адаптации при учреждении, на базе которого изготовливают интерьерной Куклы Тильда, вязание мягкой игрушки в технике амигуруми, осуществляется деятельность по мыловарению. Всего изготовлено более 25 изделий. Новым направлением в работе стало изготовление предметов интерьера из ротанга (изготовлено 8 изделий), выполнение поделок из синельной проволоки (изготовлено более 20 поделок).</w:t>
      </w:r>
    </w:p>
    <w:p>
      <w:pPr>
        <w:ind w:firstLine="708"/>
        <w:spacing/>
        <w:jc w:val="both"/>
        <w:rPr>
          <w:color w:val="000000"/>
          <w:sz w:val="24"/>
          <w:szCs w:val="24"/>
        </w:rPr>
      </w:pPr>
      <w:r>
        <w:rPr>
          <w:color w:val="000000"/>
          <w:sz w:val="24"/>
          <w:szCs w:val="24"/>
        </w:rPr>
        <w:t>В</w:t>
      </w:r>
      <w:r>
        <w:rPr>
          <w:b/>
          <w:color w:val="000000"/>
          <w:sz w:val="24"/>
          <w:szCs w:val="24"/>
        </w:rPr>
        <w:t xml:space="preserve"> отделении дневного пребывания </w:t>
      </w:r>
      <w:r>
        <w:rPr>
          <w:color w:val="000000"/>
          <w:sz w:val="24"/>
          <w:szCs w:val="24"/>
        </w:rPr>
        <w:t>прошли курс реабилитации 81 несовершеннолетних. Группу посещали дети из 50 семей, находящихся в трудной жизненной ситуации; неполных семей – 20; многодетных семей – 21; малообеспеченных семей – 9.</w:t>
      </w:r>
    </w:p>
    <w:p>
      <w:pPr>
        <w:pStyle w:val="para121"/>
        <w:ind w:left="-141" w:firstLine="708"/>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С 1 сентября  в отделение дневного пребывания набрана новая группа детей на новый сезон, и в настоящее время проходят курс реабилитации 14 детей.</w:t>
      </w:r>
    </w:p>
    <w:p>
      <w:pPr>
        <w:pStyle w:val="para97"/>
        <w:ind w:firstLine="708"/>
        <w:spacing w:before="0" w:after="0"/>
        <w:jc w:val="both"/>
        <w:rPr>
          <w:rFonts w:eastAsia="Times New Roman"/>
          <w:color w:val="000000"/>
        </w:rPr>
      </w:pPr>
      <w:r>
        <w:rPr>
          <w:rFonts w:eastAsia="Times New Roman"/>
          <w:color w:val="000000"/>
        </w:rPr>
        <w:t xml:space="preserve">Проведено 97 консультаций с родителями:  консультации по вопросу постановки на учет в ЦЗН с целью трудоустройства,  консультации по вопросу оформления мер социальной поддержки. </w:t>
      </w:r>
    </w:p>
    <w:p>
      <w:pPr>
        <w:ind w:firstLine="708"/>
        <w:spacing/>
        <w:contextualSpacing/>
        <w:jc w:val="both"/>
        <w:rPr>
          <w:iCs/>
          <w:color w:val="000000"/>
          <w:kern w:val="1"/>
          <w:sz w:val="24"/>
          <w:szCs w:val="24"/>
          <w:lang w:eastAsia="ru-ru"/>
        </w:rPr>
      </w:pPr>
      <w:r>
        <w:rPr>
          <w:b/>
          <w:bCs/>
          <w:color w:val="000000"/>
          <w:sz w:val="24"/>
          <w:szCs w:val="24"/>
          <w:u w:color="auto" w:val="single"/>
        </w:rPr>
        <w:t>В МКУ АСГО «Реабилитационный центр для детей и подростков с ограниченными возможностями»</w:t>
      </w:r>
      <w:r>
        <w:rPr>
          <w:color w:val="000000"/>
          <w:sz w:val="24"/>
          <w:szCs w:val="24"/>
        </w:rPr>
        <w:t xml:space="preserve"> </w:t>
      </w:r>
      <w:r>
        <w:rPr>
          <w:iCs/>
          <w:color w:val="000000"/>
          <w:kern w:val="1"/>
          <w:sz w:val="24"/>
          <w:szCs w:val="24"/>
          <w:lang w:eastAsia="ru-ru"/>
        </w:rPr>
        <w:t xml:space="preserve"> состоит на учете  382 ребенка-инвалида из 352 семей.  За отчетный период курс реабилитации прошли 353 ребенка. </w:t>
      </w:r>
      <w:r>
        <w:rPr>
          <w:iCs/>
          <w:color w:val="000000"/>
          <w:kern w:val="1"/>
          <w:sz w:val="24"/>
          <w:szCs w:val="24"/>
          <w:lang w:eastAsia="ru-ru"/>
        </w:rPr>
      </w:r>
    </w:p>
    <w:p>
      <w:pPr>
        <w:pStyle w:val="para121"/>
        <w:spacing/>
        <w:contextualSpacing/>
        <w:jc w:val="both"/>
        <w:tabs defTabSz="720"/>
        <w:rPr>
          <w:rFonts w:ascii="Times New Roman" w:hAnsi="Times New Roman" w:eastAsia="Times New Roman" w:cs="Times New Roman"/>
          <w:iCs/>
          <w:color w:val="000000"/>
          <w:sz w:val="24"/>
          <w:lang w:eastAsia="zh-cn"/>
        </w:rPr>
      </w:pPr>
      <w:r>
        <w:rPr>
          <w:rFonts w:ascii="Times New Roman" w:hAnsi="Times New Roman" w:eastAsia="Times New Roman" w:cs="Times New Roman"/>
          <w:iCs/>
          <w:color w:val="000000"/>
          <w:sz w:val="24"/>
          <w:lang w:eastAsia="zh-cn"/>
        </w:rPr>
        <w:tab/>
        <w:t>За отчетный период поставлено на учёт – 11 детей-инвалидов; снято с учета – 29 детей-инвалидов: 25 – по возрасту, 1 – снята инвалидность, 2 – изменение места жительства, 1-передан в гос. учреждение.</w:t>
      </w:r>
    </w:p>
    <w:p>
      <w:pPr>
        <w:ind w:firstLine="720"/>
        <w:spacing/>
        <w:contextualSpacing/>
        <w:jc w:val="both"/>
        <w:rPr>
          <w:color w:val="000000"/>
          <w:kern w:val="1"/>
          <w:sz w:val="24"/>
          <w:szCs w:val="24"/>
          <w:lang w:eastAsia="ru-ru"/>
        </w:rPr>
      </w:pPr>
      <w:r>
        <w:rPr>
          <w:color w:val="000000"/>
          <w:kern w:val="1"/>
          <w:sz w:val="24"/>
          <w:szCs w:val="24"/>
          <w:lang w:eastAsia="ru-ru"/>
        </w:rPr>
        <w:t>За 9 месяцев 2025 года специалистами отделения проведен 301 социальный патронаж в семьи с детьми-инвалидами, в том числе:</w:t>
      </w:r>
    </w:p>
    <w:p>
      <w:pPr>
        <w:pStyle w:val="para121"/>
        <w:spacing/>
        <w:contextualSpacing/>
        <w:jc w:val="both"/>
        <w:tabs defTabSz="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68 патронажей в многодетные семьи;</w:t>
      </w:r>
    </w:p>
    <w:p>
      <w:pPr>
        <w:pStyle w:val="para121"/>
        <w:spacing/>
        <w:contextualSpacing/>
        <w:jc w:val="both"/>
        <w:tabs defTabSz="720"/>
        <w:rPr>
          <w:rFonts w:ascii="Times New Roman" w:hAnsi="Times New Roman" w:eastAsia="Times New Roman" w:cs="Times New Roman"/>
          <w:iCs/>
          <w:color w:val="000000"/>
          <w:sz w:val="24"/>
          <w:lang w:eastAsia="zh-cn"/>
        </w:rPr>
      </w:pPr>
      <w:r>
        <w:rPr>
          <w:rFonts w:ascii="Times New Roman" w:hAnsi="Times New Roman" w:eastAsia="Times New Roman" w:cs="Times New Roman"/>
          <w:iCs/>
          <w:color w:val="000000"/>
          <w:sz w:val="24"/>
          <w:lang w:eastAsia="zh-cn"/>
        </w:rPr>
        <w:t>- 11 патронажей в 5 семей, находящихся в социально опасном положении</w:t>
      </w:r>
    </w:p>
    <w:p>
      <w:pPr>
        <w:pStyle w:val="para121"/>
        <w:ind w:firstLine="567"/>
        <w:spacing/>
        <w:contextualSpacing/>
        <w:jc w:val="both"/>
        <w:tabs defTabSz="72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За 9 месяцев 2025 года отделение обеспечило комплексную медико-социальную поддержку 382 детям-инвалидам.</w:t>
      </w:r>
    </w:p>
    <w:p>
      <w:pPr>
        <w:ind w:firstLine="737"/>
        <w:spacing/>
        <w:contextualSpacing/>
        <w:jc w:val="both"/>
        <w:rPr>
          <w:iCs/>
          <w:color w:val="000000"/>
          <w:kern w:val="1"/>
          <w:sz w:val="24"/>
          <w:szCs w:val="24"/>
          <w:lang w:eastAsia="ru-ru"/>
        </w:rPr>
      </w:pPr>
      <w:r>
        <w:rPr>
          <w:b/>
          <w:bCs/>
          <w:color w:val="000000"/>
          <w:sz w:val="24"/>
          <w:szCs w:val="24"/>
          <w:u w:color="auto" w:val="single"/>
        </w:rPr>
        <w:t>В МБУ АСГО «Комплексный Центр социального обслуживания населения»</w:t>
      </w:r>
      <w:r>
        <w:rPr>
          <w:b/>
          <w:bCs/>
          <w:color w:val="000000"/>
          <w:sz w:val="24"/>
          <w:szCs w:val="24"/>
        </w:rPr>
        <w:t xml:space="preserve">  </w:t>
      </w:r>
      <w:r>
        <w:rPr>
          <w:iCs/>
          <w:color w:val="000000"/>
          <w:kern w:val="1"/>
          <w:sz w:val="24"/>
          <w:szCs w:val="24"/>
          <w:lang w:eastAsia="ru-ru"/>
        </w:rPr>
        <w:t>по состоянию на 01.10.2025г.  социальные  услуги  на дому получают 1772 чел., из них 1399 чел. проживают  в благоустроенном  жилье и 373 чел. в неблагоустроенном. На базе отделения дневного пребывания социальные услуги получили 76 чел.</w:t>
      </w:r>
      <w:r>
        <w:rPr>
          <w:iCs/>
          <w:color w:val="000000"/>
          <w:kern w:val="1"/>
          <w:sz w:val="24"/>
          <w:szCs w:val="24"/>
          <w:lang w:eastAsia="ru-ru"/>
        </w:rPr>
      </w:r>
    </w:p>
    <w:p>
      <w:pPr>
        <w:pStyle w:val="para92"/>
        <w:ind w:firstLine="539"/>
        <w:spacing/>
        <w:jc w:val="both"/>
        <w:rPr>
          <w:rFonts w:ascii="Times New Roman" w:hAnsi="Times New Roman" w:cs="Times New Roman"/>
          <w:color w:val="000000"/>
          <w:sz w:val="24"/>
        </w:rPr>
      </w:pPr>
      <w:r>
        <w:rPr>
          <w:rFonts w:ascii="Times New Roman" w:hAnsi="Times New Roman" w:cs="Times New Roman"/>
          <w:color w:val="000000"/>
          <w:sz w:val="24"/>
        </w:rPr>
        <w:t>МБУ «Анжеро-Судженский Комплексный Центр социального обслуживания населения» продолжает  реализацию мероприятий по созданию системы долговременного ухода за гражданами пожилого возраста и инвалидами, проживающими на территории Кемеровской области. Одна из  задач  долговременного ухода - системная поддержка и повышение качества жизни граждан пожилого возраста при получении ими социальных услуг  и медицинской помощи. На реализацию мероприятий по созданию СДУ в 2025г. Выделено 15 434,5 тыс. руб. (фонд оплаты труда 18 сиделок). За отчётный период реализовано 74,5 %.</w:t>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В отчётном периоде</w:t>
      </w:r>
      <w:r>
        <w:rPr>
          <w:rFonts w:ascii="Times New Roman" w:hAnsi="Times New Roman" w:eastAsia="Times New Roman" w:cs="Times New Roman"/>
          <w:b/>
          <w:color w:val="000000"/>
          <w:sz w:val="24"/>
        </w:rPr>
        <w:t xml:space="preserve"> 12 отделениями надомного обслуживания</w:t>
      </w:r>
      <w:r>
        <w:rPr>
          <w:rFonts w:ascii="Times New Roman" w:hAnsi="Times New Roman" w:eastAsia="Times New Roman" w:cs="Times New Roman"/>
          <w:color w:val="000000"/>
          <w:sz w:val="24"/>
        </w:rPr>
        <w:t xml:space="preserve"> оказано</w:t>
      </w:r>
      <w:r>
        <w:rPr>
          <w:rFonts w:ascii="Times New Roman" w:hAnsi="Times New Roman" w:eastAsia="Times New Roman" w:cs="Times New Roman"/>
          <w:color w:val="000000"/>
          <w:sz w:val="24"/>
          <w:position w:val="0"/>
        </w:rPr>
        <w:t xml:space="preserve"> 932192</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position w:val="0"/>
        </w:rPr>
        <w:t xml:space="preserve"> </w:t>
      </w:r>
      <w:r>
        <w:rPr>
          <w:rFonts w:ascii="Times New Roman" w:hAnsi="Times New Roman" w:eastAsia="Times New Roman" w:cs="Times New Roman"/>
          <w:color w:val="000000"/>
          <w:sz w:val="24"/>
        </w:rPr>
        <w:t xml:space="preserve">услуг, из них: социальных – </w:t>
      </w:r>
      <w:r>
        <w:rPr>
          <w:rFonts w:ascii="Times New Roman" w:hAnsi="Times New Roman" w:eastAsia="Times New Roman" w:cs="Times New Roman"/>
          <w:color w:val="000000"/>
          <w:sz w:val="24"/>
          <w:position w:val="0"/>
        </w:rPr>
        <w:t xml:space="preserve">  528489</w:t>
      </w:r>
      <w:r>
        <w:rPr>
          <w:rFonts w:ascii="Times New Roman" w:hAnsi="Times New Roman" w:eastAsia="Times New Roman" w:cs="Times New Roman"/>
          <w:color w:val="000000"/>
          <w:sz w:val="24"/>
        </w:rPr>
        <w:t xml:space="preserve">, дополнительных – </w:t>
      </w:r>
      <w:r>
        <w:rPr>
          <w:rFonts w:ascii="Times New Roman" w:hAnsi="Times New Roman" w:eastAsia="Times New Roman" w:cs="Times New Roman"/>
          <w:color w:val="000000"/>
          <w:sz w:val="24"/>
          <w:position w:val="0"/>
        </w:rPr>
        <w:t>403703</w:t>
      </w:r>
      <w:r>
        <w:rPr>
          <w:rFonts w:ascii="Times New Roman" w:hAnsi="Times New Roman" w:eastAsia="Times New Roman" w:cs="Times New Roman"/>
          <w:color w:val="000000"/>
          <w:sz w:val="24"/>
        </w:rPr>
        <w:t>. Доход от предоставленных платных услуг составил 8 966,44 тыс.</w:t>
      </w:r>
      <w:r>
        <w:rPr>
          <w:rFonts w:ascii="Times New Roman" w:hAnsi="Times New Roman" w:eastAsia="Times New Roman" w:cs="Times New Roman"/>
          <w:color w:val="000000"/>
          <w:sz w:val="24"/>
          <w:position w:val="0"/>
        </w:rPr>
        <w:t xml:space="preserve">  руб.</w:t>
      </w:r>
      <w:r>
        <w:rPr>
          <w:rFonts w:ascii="Times New Roman" w:hAnsi="Times New Roman" w:eastAsia="Times New Roman" w:cs="Times New Roman"/>
          <w:color w:val="000000"/>
          <w:sz w:val="24"/>
        </w:rPr>
        <w:t xml:space="preserve"> </w:t>
      </w:r>
    </w:p>
    <w:p>
      <w:pPr>
        <w:pStyle w:val="para85"/>
        <w:ind w:firstLine="708"/>
        <w:spacing/>
        <w:jc w:val="both"/>
        <w:rPr>
          <w:rFonts w:eastAsia="Times New Roman"/>
          <w:color w:val="000000"/>
          <w:sz w:val="24"/>
          <w:szCs w:val="22"/>
        </w:rPr>
      </w:pPr>
      <w:r>
        <w:rPr>
          <w:rFonts w:eastAsia="Times New Roman"/>
          <w:color w:val="000000"/>
          <w:sz w:val="24"/>
          <w:szCs w:val="22"/>
        </w:rPr>
        <w:t xml:space="preserve">За отчётный период в </w:t>
      </w:r>
      <w:r>
        <w:rPr>
          <w:rFonts w:eastAsia="Times New Roman"/>
          <w:b/>
          <w:color w:val="000000"/>
          <w:sz w:val="24"/>
          <w:szCs w:val="22"/>
        </w:rPr>
        <w:t>отделении дневного пребывания</w:t>
      </w:r>
      <w:r>
        <w:rPr>
          <w:rFonts w:eastAsia="Times New Roman"/>
          <w:color w:val="000000"/>
          <w:sz w:val="24"/>
          <w:szCs w:val="22"/>
        </w:rPr>
        <w:t xml:space="preserve"> предоставлено 9510</w:t>
      </w:r>
      <w:r>
        <w:rPr>
          <w:rFonts w:eastAsia="Times New Roman"/>
          <w:color w:val="000000"/>
          <w:sz w:val="24"/>
          <w:szCs w:val="22"/>
          <w:lang w:eastAsia="ru-ru"/>
        </w:rPr>
        <w:t xml:space="preserve"> </w:t>
      </w:r>
      <w:r>
        <w:rPr>
          <w:rFonts w:eastAsia="Times New Roman"/>
          <w:color w:val="000000"/>
          <w:sz w:val="24"/>
          <w:szCs w:val="22"/>
        </w:rPr>
        <w:t xml:space="preserve"> социальных услуг, 2504</w:t>
      </w:r>
      <w:r>
        <w:rPr>
          <w:rFonts w:eastAsia="Times New Roman"/>
          <w:color w:val="000000"/>
          <w:sz w:val="24"/>
          <w:szCs w:val="22"/>
          <w:lang w:eastAsia="ru-ru"/>
        </w:rPr>
        <w:t xml:space="preserve"> </w:t>
      </w:r>
      <w:r>
        <w:rPr>
          <w:rFonts w:eastAsia="Times New Roman"/>
          <w:color w:val="000000"/>
          <w:sz w:val="24"/>
          <w:szCs w:val="22"/>
        </w:rPr>
        <w:t xml:space="preserve"> услуг по дополнительному перечню. Общий доход от предоставленных отделением услуг составил – </w:t>
      </w:r>
      <w:r>
        <w:rPr>
          <w:rFonts w:eastAsia="Times New Roman"/>
          <w:b/>
          <w:color w:val="000000"/>
          <w:sz w:val="24"/>
          <w:szCs w:val="22"/>
          <w:lang w:eastAsia="ru-ru"/>
        </w:rPr>
        <w:t xml:space="preserve">250,2 </w:t>
      </w:r>
      <w:r>
        <w:rPr>
          <w:rFonts w:eastAsia="Times New Roman"/>
          <w:color w:val="000000"/>
          <w:sz w:val="24"/>
          <w:szCs w:val="22"/>
        </w:rPr>
        <w:t>тыс. руб.</w:t>
      </w:r>
    </w:p>
    <w:p>
      <w:pPr>
        <w:pStyle w:val="para85"/>
        <w:ind w:right="79" w:firstLine="709"/>
        <w:spacing/>
        <w:jc w:val="both"/>
        <w:rPr>
          <w:rFonts w:eastAsia="Times New Roman"/>
          <w:color w:val="000000"/>
          <w:sz w:val="24"/>
          <w:szCs w:val="22"/>
        </w:rPr>
      </w:pPr>
      <w:r>
        <w:rPr>
          <w:rFonts w:eastAsia="Times New Roman"/>
          <w:color w:val="000000"/>
          <w:sz w:val="24"/>
          <w:szCs w:val="22"/>
        </w:rPr>
        <w:t xml:space="preserve">В  отчётном периоде в </w:t>
      </w:r>
      <w:r>
        <w:rPr>
          <w:rFonts w:eastAsia="Times New Roman"/>
          <w:b/>
          <w:color w:val="000000"/>
          <w:sz w:val="24"/>
          <w:szCs w:val="22"/>
        </w:rPr>
        <w:t>отделение срочного социального обслуживания</w:t>
      </w:r>
      <w:r>
        <w:rPr>
          <w:rFonts w:eastAsia="Times New Roman"/>
          <w:color w:val="000000"/>
          <w:sz w:val="24"/>
          <w:szCs w:val="22"/>
        </w:rPr>
        <w:t xml:space="preserve"> оказано помощь 988 чел. В рамках работы </w:t>
      </w:r>
      <w:r>
        <w:rPr>
          <w:rFonts w:eastAsia="Times New Roman"/>
          <w:i/>
          <w:color w:val="000000"/>
          <w:sz w:val="24"/>
          <w:szCs w:val="22"/>
        </w:rPr>
        <w:t>«Мобильной бригады»</w:t>
      </w:r>
      <w:r>
        <w:rPr>
          <w:rFonts w:eastAsia="Times New Roman"/>
          <w:color w:val="000000"/>
          <w:sz w:val="24"/>
          <w:szCs w:val="22"/>
        </w:rPr>
        <w:t xml:space="preserve"> организовано 88 выезда, получили помощь различного характера 541 чел. В течение отчётного периода из средств </w:t>
      </w:r>
      <w:r>
        <w:rPr>
          <w:rFonts w:eastAsia="Times New Roman"/>
          <w:i/>
          <w:color w:val="000000"/>
          <w:sz w:val="24"/>
          <w:szCs w:val="22"/>
        </w:rPr>
        <w:t>«Пункта приёма и выдачи вещей»</w:t>
      </w:r>
      <w:r>
        <w:rPr>
          <w:rFonts w:eastAsia="Times New Roman"/>
          <w:color w:val="000000"/>
          <w:sz w:val="24"/>
          <w:szCs w:val="22"/>
        </w:rPr>
        <w:t xml:space="preserve"> оказана помощь 47 чел., находящимся  в трудном материальном положении в количестве 437 ед. Услугами </w:t>
      </w:r>
      <w:r>
        <w:rPr>
          <w:rFonts w:eastAsia="Times New Roman"/>
          <w:i/>
          <w:color w:val="000000"/>
          <w:sz w:val="24"/>
          <w:szCs w:val="22"/>
        </w:rPr>
        <w:t>«Социальное такси»</w:t>
      </w:r>
      <w:r>
        <w:rPr>
          <w:rFonts w:eastAsia="Times New Roman"/>
          <w:color w:val="000000"/>
          <w:sz w:val="24"/>
          <w:szCs w:val="22"/>
        </w:rPr>
        <w:t xml:space="preserve"> воспользовалось 434 чел. </w:t>
      </w:r>
    </w:p>
    <w:p>
      <w:pPr>
        <w:ind w:firstLine="708"/>
        <w:spacing/>
        <w:contextualSpacing/>
        <w:jc w:val="both"/>
        <w:rPr>
          <w:color w:val="000000"/>
          <w:kern w:val="1"/>
          <w:sz w:val="24"/>
          <w:szCs w:val="24"/>
          <w:lang w:eastAsia="ru-ru"/>
        </w:rPr>
      </w:pPr>
      <w:r>
        <w:rPr>
          <w:color w:val="000000"/>
          <w:kern w:val="1"/>
          <w:sz w:val="24"/>
          <w:szCs w:val="24"/>
          <w:lang w:eastAsia="ru-ru"/>
        </w:rPr>
        <w:t xml:space="preserve">За отчётный период в </w:t>
      </w:r>
      <w:r>
        <w:rPr>
          <w:b/>
          <w:color w:val="000000"/>
          <w:kern w:val="1"/>
          <w:sz w:val="24"/>
          <w:szCs w:val="24"/>
          <w:lang w:eastAsia="ru-ru"/>
        </w:rPr>
        <w:t>социально – реабилитационном отделении</w:t>
      </w:r>
      <w:r>
        <w:rPr>
          <w:color w:val="000000"/>
          <w:kern w:val="1"/>
          <w:sz w:val="24"/>
          <w:szCs w:val="24"/>
          <w:lang w:eastAsia="ru-ru"/>
        </w:rPr>
        <w:t xml:space="preserve"> были предоставлены услуги трём целевым группам: с психическими расстройствами, с когнитивными нарушениями, с нарушениями опорно-двигательного аппарата. Услуги предоставлены 42 получателям социальных услуг. За отчётный период предоставлено 1609 социальных услуг. </w:t>
      </w:r>
    </w:p>
    <w:p>
      <w:pPr>
        <w:pStyle w:val="para121"/>
        <w:ind w:firstLine="708"/>
        <w:spacing/>
        <w:jc w:val="both"/>
        <w:rPr>
          <w:rFonts w:ascii="Times New Roman" w:hAnsi="Times New Roman" w:eastAsia="Times New Roman" w:cs="Times New Roman"/>
          <w:iCs/>
          <w:color w:val="000000"/>
          <w:sz w:val="24"/>
        </w:rPr>
      </w:pPr>
      <w:r>
        <w:rPr>
          <w:rFonts w:ascii="Times New Roman" w:hAnsi="Times New Roman" w:eastAsia="Times New Roman" w:cs="Times New Roman"/>
          <w:color w:val="000000"/>
          <w:sz w:val="24"/>
        </w:rPr>
        <w:t xml:space="preserve">В отчётном периоде в </w:t>
      </w:r>
      <w:r>
        <w:rPr>
          <w:rFonts w:ascii="Times New Roman" w:hAnsi="Times New Roman" w:eastAsia="Times New Roman" w:cs="Times New Roman"/>
          <w:iCs/>
          <w:color w:val="000000"/>
          <w:sz w:val="24"/>
        </w:rPr>
        <w:t>отделение  обратилось и оказаны услуги в отношении 671 граждан, имеющих индивидуальные программы.</w:t>
      </w:r>
      <w:r>
        <w:rPr>
          <w:rFonts w:ascii="Times New Roman" w:hAnsi="Times New Roman" w:eastAsia="Times New Roman" w:cs="Times New Roman"/>
          <w:iCs/>
          <w:color w:val="000000"/>
          <w:sz w:val="24"/>
        </w:rPr>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Продолжается  работа </w:t>
      </w:r>
      <w:r>
        <w:rPr>
          <w:rFonts w:ascii="Times New Roman" w:hAnsi="Times New Roman" w:eastAsia="Times New Roman" w:cs="Times New Roman"/>
          <w:i/>
          <w:color w:val="000000"/>
          <w:sz w:val="24"/>
        </w:rPr>
        <w:t>«Школы ухода»</w:t>
      </w:r>
      <w:r>
        <w:rPr>
          <w:rFonts w:ascii="Times New Roman" w:hAnsi="Times New Roman" w:eastAsia="Times New Roman" w:cs="Times New Roman"/>
          <w:color w:val="000000"/>
          <w:sz w:val="24"/>
        </w:rPr>
        <w:t xml:space="preserve"> для родственников и лиц, осуществляющих уход за маломобильными и немобильными гражданами. За отчётный период проведено 178 занятия. Школу посетили 226 чел.</w:t>
      </w:r>
    </w:p>
    <w:p>
      <w:pPr>
        <w:pStyle w:val="para85"/>
        <w:ind w:right="79" w:firstLine="709"/>
        <w:spacing w:after="240"/>
        <w:jc w:val="both"/>
        <w:rPr>
          <w:rFonts w:eastAsia="Times New Roman"/>
          <w:color w:val="000000"/>
          <w:sz w:val="24"/>
        </w:rPr>
      </w:pPr>
      <w:r>
        <w:rPr>
          <w:rFonts w:eastAsia="Times New Roman"/>
          <w:color w:val="000000"/>
          <w:sz w:val="24"/>
        </w:rPr>
        <w:t xml:space="preserve">В течение отчётного периода услугами </w:t>
      </w:r>
      <w:r>
        <w:rPr>
          <w:rFonts w:eastAsia="Times New Roman"/>
          <w:i/>
          <w:color w:val="000000"/>
          <w:sz w:val="24"/>
        </w:rPr>
        <w:t>«Пункта проката технических средств реабилитации»</w:t>
      </w:r>
      <w:r>
        <w:rPr>
          <w:rFonts w:eastAsia="Times New Roman"/>
          <w:color w:val="000000"/>
          <w:sz w:val="24"/>
        </w:rPr>
        <w:t xml:space="preserve"> воспользовалось 165 чел., выдано 179  единица ТСР. </w:t>
      </w:r>
    </w:p>
    <w:p>
      <w:pPr>
        <w:spacing/>
        <w:jc w:val="both"/>
        <w:rPr>
          <w:color w:val="000000"/>
          <w:sz w:val="24"/>
          <w:szCs w:val="24"/>
        </w:rPr>
      </w:pPr>
      <w:r>
        <w:rPr>
          <w:color w:val="000000"/>
          <w:sz w:val="24"/>
          <w:szCs w:val="24"/>
        </w:rPr>
      </w:r>
    </w:p>
    <w:p>
      <w:pPr>
        <w:ind w:firstLine="719"/>
        <w:spacing/>
        <w:contextualSpacing/>
        <w:jc w:val="center"/>
        <w:widowControl/>
        <w:tabs defTabSz="720">
          <w:tab w:val="left" w:pos="840" w:leader="none"/>
        </w:tabs>
        <w:rPr>
          <w:b/>
          <w:bCs/>
          <w:color w:val="000000"/>
          <w:sz w:val="24"/>
          <w:szCs w:val="24"/>
        </w:rPr>
      </w:pPr>
      <w:r>
        <w:rPr>
          <w:b/>
          <w:bCs/>
          <w:color w:val="000000"/>
          <w:sz w:val="24"/>
          <w:szCs w:val="24"/>
        </w:rPr>
        <w:t>15. ФИЗКУЛЬТУРА И СПОРТ</w:t>
      </w:r>
    </w:p>
    <w:p>
      <w:pPr>
        <w:ind w:firstLine="680"/>
        <w:spacing/>
        <w:contextualSpacing/>
        <w:jc w:val="both"/>
        <w:widowControl/>
        <w:rPr>
          <w:color w:val="000000"/>
          <w:sz w:val="24"/>
          <w:szCs w:val="24"/>
        </w:rPr>
      </w:pPr>
      <w:r>
        <w:rPr>
          <w:color w:val="000000"/>
          <w:sz w:val="24"/>
          <w:szCs w:val="24"/>
        </w:rPr>
      </w:r>
    </w:p>
    <w:p>
      <w:pPr>
        <w:ind w:firstLine="680"/>
        <w:spacing/>
        <w:contextualSpacing/>
        <w:jc w:val="both"/>
        <w:widowControl/>
        <w:rPr>
          <w:color w:val="000000"/>
          <w:sz w:val="24"/>
          <w:szCs w:val="24"/>
        </w:rPr>
      </w:pPr>
      <w:r>
        <w:rPr>
          <w:color w:val="000000"/>
          <w:sz w:val="24"/>
          <w:szCs w:val="24"/>
        </w:rPr>
        <w:t>Развитием спорта на территории городского округа занимаются 2 физкультурно-спортивных учреждения (</w:t>
      </w:r>
      <w:r>
        <w:rPr>
          <w:i/>
          <w:iCs/>
          <w:color w:val="000000"/>
          <w:sz w:val="24"/>
          <w:szCs w:val="24"/>
        </w:rPr>
        <w:t>МБ ФСУ «СШОР», МБ ФСУ СШ «Сибиряк»</w:t>
      </w:r>
      <w:r>
        <w:rPr>
          <w:color w:val="000000"/>
          <w:sz w:val="24"/>
          <w:szCs w:val="24"/>
        </w:rPr>
        <w:t>), 3 учреждения дополнительного образования спортивной направленности (</w:t>
      </w:r>
      <w:r>
        <w:rPr>
          <w:i/>
          <w:iCs/>
          <w:color w:val="000000"/>
          <w:sz w:val="24"/>
          <w:szCs w:val="24"/>
        </w:rPr>
        <w:t>МБУ ДО ДЮСШ № 1 «Юность», МБУ ДО «СЮТур», МБУ ДО «ООЦ «Олимп»</w:t>
      </w:r>
      <w:r>
        <w:rPr>
          <w:color w:val="000000"/>
          <w:sz w:val="24"/>
          <w:szCs w:val="24"/>
        </w:rPr>
        <w:t>), которые посещают 7 564 человека.</w:t>
      </w:r>
    </w:p>
    <w:p>
      <w:pPr>
        <w:ind w:firstLine="680"/>
        <w:spacing/>
        <w:contextualSpacing/>
        <w:jc w:val="both"/>
        <w:rPr>
          <w:b/>
          <w:bCs/>
          <w:color w:val="000000"/>
          <w:sz w:val="24"/>
          <w:szCs w:val="24"/>
        </w:rPr>
      </w:pPr>
      <w:r>
        <w:rPr>
          <w:color w:val="000000"/>
          <w:sz w:val="24"/>
          <w:szCs w:val="24"/>
        </w:rPr>
        <w:t xml:space="preserve">Создание условий, обеспечивающих возможность для жителей города вести здоровый образ жизни – основная задача работников спорта. Целевой ориентир в сфере спорта - </w:t>
      </w:r>
      <w:r>
        <w:rPr>
          <w:b/>
          <w:bCs/>
          <w:color w:val="000000"/>
          <w:sz w:val="24"/>
          <w:szCs w:val="24"/>
        </w:rPr>
        <w:t>увеличение доли граждан, систематически занимающихся физической культурой и спортом</w:t>
      </w:r>
      <w:r>
        <w:rPr>
          <w:color w:val="000000"/>
          <w:sz w:val="24"/>
          <w:szCs w:val="24"/>
        </w:rPr>
        <w:t xml:space="preserve"> в 2025 году </w:t>
      </w:r>
      <w:r>
        <w:rPr>
          <w:b/>
          <w:bCs/>
          <w:color w:val="000000"/>
          <w:sz w:val="24"/>
          <w:szCs w:val="24"/>
        </w:rPr>
        <w:t>до 68,7</w:t>
      </w:r>
      <w:r>
        <w:rPr>
          <w:b/>
          <w:bCs/>
          <w:color w:val="000000"/>
          <w:sz w:val="24"/>
          <w:szCs w:val="24"/>
        </w:rPr>
        <w:t>%.</w:t>
      </w:r>
      <w:r>
        <w:rPr>
          <w:b/>
          <w:bCs/>
          <w:color w:val="000000"/>
          <w:sz w:val="24"/>
          <w:szCs w:val="24"/>
        </w:rPr>
        <w:t xml:space="preserve"> </w:t>
      </w:r>
      <w:r>
        <w:rPr>
          <w:b/>
          <w:bCs/>
          <w:color w:val="000000"/>
          <w:sz w:val="24"/>
          <w:szCs w:val="24"/>
        </w:rPr>
      </w:r>
    </w:p>
    <w:p>
      <w:pPr>
        <w:ind w:firstLine="680"/>
        <w:spacing/>
        <w:contextualSpacing/>
        <w:jc w:val="both"/>
        <w:rPr>
          <w:color w:val="000000"/>
          <w:sz w:val="24"/>
          <w:szCs w:val="24"/>
          <w:lang w:eastAsia="ru-ru"/>
        </w:rPr>
      </w:pPr>
      <w:r>
        <w:rPr>
          <w:color w:val="000000"/>
          <w:sz w:val="24"/>
          <w:szCs w:val="24"/>
        </w:rPr>
        <w:t xml:space="preserve">Как результат, </w:t>
      </w:r>
      <w:r>
        <w:rPr>
          <w:b/>
          <w:bCs/>
          <w:color w:val="000000"/>
          <w:sz w:val="24"/>
          <w:szCs w:val="24"/>
        </w:rPr>
        <w:t>64,8%</w:t>
      </w:r>
      <w:r>
        <w:rPr>
          <w:color w:val="000000"/>
          <w:sz w:val="24"/>
          <w:szCs w:val="24"/>
        </w:rPr>
        <w:t xml:space="preserve"> или </w:t>
      </w:r>
      <w:r>
        <w:rPr>
          <w:b/>
          <w:bCs/>
          <w:color w:val="000000"/>
          <w:sz w:val="24"/>
          <w:szCs w:val="24"/>
        </w:rPr>
        <w:t>38 685 человек систематически занимаются физической культурой и спортом</w:t>
      </w:r>
      <w:r>
        <w:rPr>
          <w:color w:val="000000"/>
          <w:sz w:val="24"/>
          <w:szCs w:val="24"/>
        </w:rPr>
        <w:t xml:space="preserve">, т.е. целевой показатель в сфере спорта  не  достигнут. </w:t>
      </w:r>
      <w:r>
        <w:rPr>
          <w:color w:val="000000"/>
          <w:sz w:val="24"/>
          <w:szCs w:val="24"/>
          <w:lang w:eastAsia="ru-ru"/>
        </w:rPr>
        <w:t>Кроме того, среди обучающихся постоянно занимаются физической культурой и спортом 12834 человек или 89 % от численности населения муниципального образования в возрасте  до 17 лет.</w:t>
      </w:r>
      <w:r>
        <w:rPr>
          <w:color w:val="000000"/>
          <w:sz w:val="24"/>
          <w:szCs w:val="24"/>
          <w:lang w:eastAsia="ru-ru"/>
        </w:rPr>
      </w:r>
    </w:p>
    <w:p>
      <w:pPr>
        <w:ind w:firstLine="680"/>
        <w:spacing/>
        <w:contextualSpacing/>
        <w:jc w:val="both"/>
        <w:rPr>
          <w:color w:val="000000"/>
          <w:sz w:val="24"/>
          <w:szCs w:val="24"/>
        </w:rPr>
      </w:pPr>
      <w:r>
        <w:rPr>
          <w:color w:val="000000"/>
          <w:sz w:val="24"/>
          <w:szCs w:val="24"/>
        </w:rPr>
        <w:t>За 9 месяцев 2025 года комитетом по физической культуре, спорту и молодёжной политике, спортивными школами и федерациями по различным видам спорта было проведено 239 физкультурно-оздоровительных мероприятий и соревнований, в том числе 1 всероссийское соревнование, 12 региональных, 255 городских соревнований, в которых приняло участие более 9,5 тыс. человек.</w:t>
      </w:r>
    </w:p>
    <w:p>
      <w:pPr>
        <w:ind w:firstLine="680"/>
        <w:spacing/>
        <w:contextualSpacing/>
        <w:jc w:val="both"/>
        <w:rPr>
          <w:color w:val="000000"/>
          <w:sz w:val="24"/>
          <w:szCs w:val="24"/>
        </w:rPr>
      </w:pPr>
      <w:r>
        <w:rPr>
          <w:color w:val="000000"/>
          <w:sz w:val="24"/>
          <w:szCs w:val="24"/>
          <w:shd w:val="clear" w:fill="ffffff"/>
        </w:rPr>
        <w:t>За отчётный пе</w:t>
      </w:r>
      <w:r>
        <w:rPr>
          <w:color w:val="000000"/>
          <w:sz w:val="24"/>
          <w:szCs w:val="24"/>
        </w:rPr>
        <w:t>риод 2 чел. выполнили норматив Мастера спорта, 27 человек- кандидата в Мастера  спорта, 38 чел. – первого разряда и 625 – массовые разряды.</w:t>
      </w:r>
    </w:p>
    <w:p>
      <w:pPr>
        <w:ind w:firstLine="680"/>
        <w:spacing/>
        <w:contextualSpacing/>
        <w:jc w:val="both"/>
        <w:rPr>
          <w:color w:val="000000"/>
          <w:sz w:val="24"/>
          <w:szCs w:val="24"/>
        </w:rPr>
      </w:pPr>
      <w:r>
        <w:rPr>
          <w:color w:val="000000"/>
          <w:sz w:val="24"/>
          <w:szCs w:val="24"/>
        </w:rPr>
        <w:t>С целью увеличения целевого показателя развиваем базу спортивных учреждений, планируется открытие новых спортивных площадок, строительство новых спортивных объектов.</w:t>
      </w:r>
    </w:p>
    <w:p>
      <w:pPr>
        <w:ind w:firstLine="680"/>
        <w:spacing/>
        <w:contextualSpacing/>
        <w:jc w:val="both"/>
        <w:rPr>
          <w:color w:val="000000"/>
          <w:sz w:val="24"/>
          <w:szCs w:val="24"/>
        </w:rPr>
      </w:pPr>
      <w:r>
        <w:rPr>
          <w:color w:val="000000"/>
          <w:sz w:val="24"/>
          <w:szCs w:val="24"/>
        </w:rPr>
        <w:t>В 2024 году открылась площадка  с тренажёрами на ул. Мира, скейт-парк по ул. С.Перовской, реконструкция спортивных площадок ООШ №8, открытие площадки на территории ДД «Росток».</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Всего за летний период спортивные площадки посетили 11350 детей и подростков, из них 511 чел. из неблагополучных семей и состоящих на различных видах профилактического учета.</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 xml:space="preserve">Для организации работы на летних спортивных площадках был приобретен необходимый спортивный инвентарь за счет средств комитета по физической культуре, спорту и молодежной политике (мячи баскетбольные, волейбольные, футбольные, скакалки, ракетки для бадминтона, сетки баскетбольные, футбольные, волейбольные) на сумму 300 тыс. руб. </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На спортивных площадках проводились физкультурно-оздоровительные мероприятия для детей и подростков, соревнования и матчевые встречи по игровым видам спорта: стритболу, волейболу, футболу, в том числе и городские массовые соревнования.</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 xml:space="preserve">В рамках проекта «Лето с ГТО в Кузбассе» на стадионе «Анжерский» была организована работа площадки ГТО, на которой специалисты Центра тестирования оказывали консультативную помощь и принимали нормативы Всероссийского комплекса ГТО, как в тестовом режиме, так и на знак отличия. </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За 9 месяцев 2025 года к выполнению испытаний в тестовом режиме  приступили  5468 человек, на знак  отличия 4238 граждан.</w:t>
      </w:r>
    </w:p>
    <w:p>
      <w:pPr>
        <w:ind w:firstLine="680"/>
        <w:spacing/>
        <w:contextualSpacing/>
        <w:jc w:val="both"/>
        <w:rPr>
          <w:color w:val="000000"/>
          <w:sz w:val="24"/>
          <w:szCs w:val="24"/>
        </w:rPr>
      </w:pPr>
      <w:r>
        <w:rPr>
          <w:color w:val="000000"/>
          <w:sz w:val="24"/>
          <w:szCs w:val="24"/>
        </w:rPr>
      </w:r>
    </w:p>
    <w:p>
      <w:pPr>
        <w:ind w:firstLine="680"/>
        <w:spacing/>
        <w:contextualSpacing/>
        <w:jc w:val="both"/>
        <w:rPr>
          <w:b/>
          <w:bCs/>
          <w:color w:val="000000"/>
          <w:sz w:val="28"/>
          <w:szCs w:val="28"/>
        </w:rPr>
      </w:pPr>
      <w:r>
        <w:rPr>
          <w:b/>
          <w:bCs/>
          <w:color w:val="000000"/>
          <w:sz w:val="28"/>
          <w:szCs w:val="28"/>
        </w:rPr>
      </w:r>
    </w:p>
    <w:p>
      <w:pPr>
        <w:spacing/>
        <w:contextualSpacing/>
        <w:jc w:val="center"/>
        <w:widowControl/>
        <w:rPr>
          <w:b/>
          <w:color w:val="000000"/>
          <w:sz w:val="24"/>
          <w:szCs w:val="24"/>
        </w:rPr>
      </w:pPr>
      <w:r>
        <w:rPr>
          <w:b/>
          <w:color w:val="000000"/>
          <w:sz w:val="24"/>
          <w:szCs w:val="24"/>
        </w:rPr>
        <w:t>16. КУЛЬТУРА</w:t>
      </w:r>
    </w:p>
    <w:p>
      <w:pPr>
        <w:spacing/>
        <w:contextualSpacing/>
        <w:jc w:val="center"/>
        <w:widowControl/>
        <w:rPr>
          <w:b/>
          <w:color w:val="000000"/>
          <w:sz w:val="24"/>
          <w:szCs w:val="24"/>
        </w:rPr>
      </w:pPr>
      <w:r>
        <w:rPr>
          <w:b/>
          <w:color w:val="000000"/>
          <w:sz w:val="24"/>
          <w:szCs w:val="24"/>
        </w:rPr>
      </w:r>
    </w:p>
    <w:p>
      <w:pPr>
        <w:pStyle w:val="para85"/>
        <w:ind w:firstLine="708"/>
        <w:spacing/>
        <w:jc w:val="center"/>
        <w:rPr>
          <w:rFonts w:eastAsia="Times New Roman"/>
          <w:b/>
          <w:bCs/>
          <w:color w:val="000000"/>
          <w:sz w:val="24"/>
          <w:u w:color="auto" w:val="single"/>
        </w:rPr>
      </w:pPr>
      <w:r>
        <w:rPr>
          <w:rFonts w:eastAsia="Times New Roman"/>
          <w:b/>
          <w:bCs/>
          <w:color w:val="000000"/>
          <w:sz w:val="24"/>
          <w:u w:color="auto" w:val="single"/>
        </w:rPr>
        <w:t>Сеть учреждений культуры</w:t>
      </w:r>
    </w:p>
    <w:p>
      <w:pPr>
        <w:pStyle w:val="para85"/>
        <w:ind w:firstLine="709"/>
        <w:spacing/>
        <w:jc w:val="both"/>
        <w:rPr>
          <w:bCs/>
          <w:color w:val="000000"/>
          <w:sz w:val="24"/>
        </w:rPr>
      </w:pPr>
      <w:r>
        <w:rPr>
          <w:color w:val="000000"/>
          <w:sz w:val="24"/>
        </w:rPr>
        <w:t xml:space="preserve">Сеть муниципальных учреждений культуры представлена </w:t>
      </w:r>
      <w:r>
        <w:rPr>
          <w:bCs/>
          <w:color w:val="000000"/>
          <w:sz w:val="24"/>
        </w:rPr>
        <w:t>Централизованной библиотечн</w:t>
      </w:r>
      <w:r>
        <w:rPr>
          <w:bCs/>
          <w:color w:val="000000"/>
          <w:sz w:val="24"/>
        </w:rPr>
        <w:t xml:space="preserve">ой системой, включающей в себя </w:t>
      </w:r>
      <w:r>
        <w:rPr>
          <w:bCs/>
          <w:color w:val="000000"/>
          <w:sz w:val="24"/>
        </w:rPr>
        <w:t xml:space="preserve">6 филиалов библиотек, 5 дворцами культуры и клубами, городским краеведческим музеем и 4 образовательными учреждениями культуры (школа </w:t>
      </w:r>
      <w:r>
        <w:rPr>
          <w:bCs/>
          <w:color w:val="000000"/>
          <w:sz w:val="24"/>
        </w:rPr>
        <w:t>искусств, художественная школа, две музыкальных школы), центром бухгалтерского учета и хозяйственного обслуживания.</w:t>
      </w:r>
      <w:r>
        <w:rPr>
          <w:bCs/>
          <w:color w:val="000000"/>
          <w:sz w:val="24"/>
        </w:rPr>
      </w:r>
    </w:p>
    <w:p>
      <w:pPr>
        <w:pStyle w:val="para85"/>
        <w:spacing/>
        <w:jc w:val="both"/>
        <w:rPr>
          <w:bCs/>
          <w:color w:val="000000"/>
          <w:sz w:val="24"/>
        </w:rPr>
      </w:pPr>
      <w:r>
        <w:rPr>
          <w:bCs/>
          <w:color w:val="000000"/>
          <w:sz w:val="24"/>
        </w:rPr>
      </w:r>
    </w:p>
    <w:p>
      <w:pPr>
        <w:spacing/>
        <w:jc w:val="center"/>
        <w:rPr>
          <w:b/>
          <w:bCs/>
          <w:color w:val="000000"/>
          <w:sz w:val="24"/>
          <w:szCs w:val="24"/>
          <w:u w:color="auto" w:val="single"/>
        </w:rPr>
      </w:pPr>
      <w:r>
        <w:rPr>
          <w:b/>
          <w:bCs/>
          <w:color w:val="000000"/>
          <w:sz w:val="24"/>
          <w:szCs w:val="24"/>
          <w:u w:color="auto" w:val="single"/>
        </w:rPr>
        <w:t>Развитие материально-технической базы учреждений культуры</w:t>
      </w:r>
    </w:p>
    <w:p>
      <w:pPr>
        <w:ind w:firstLine="709"/>
        <w:spacing/>
        <w:jc w:val="both"/>
        <w:rPr>
          <w:color w:val="000000"/>
          <w:sz w:val="24"/>
          <w:szCs w:val="24"/>
        </w:rPr>
      </w:pPr>
      <w:r>
        <w:rPr>
          <w:color w:val="000000"/>
          <w:sz w:val="24"/>
          <w:szCs w:val="24"/>
        </w:rPr>
        <w:t>За отчётный период на развитие и содержание учреждений культуры городского округа всего израсходовано 129 795,8 тыс. руб.</w:t>
      </w:r>
      <w:r>
        <w:rPr>
          <w:b/>
          <w:color w:val="000000"/>
          <w:sz w:val="24"/>
          <w:szCs w:val="24"/>
        </w:rPr>
        <w:t xml:space="preserve"> </w:t>
      </w:r>
      <w:r>
        <w:rPr>
          <w:color w:val="000000"/>
          <w:sz w:val="24"/>
          <w:szCs w:val="24"/>
        </w:rPr>
        <w:t>(72,6% от плана на год). В том числе: 119 755,8 тыс. руб. – из средств местного бюджета (72,6% от доведенных бюджетных ассигнований), 2 682,0 тыс. руб. – средства областного бюджета (67,4% от доведенных бюджетных ассигнований), 7 358,0 тыс. руб. за счет внебюджетных доходов (74,5% от годового плана).</w:t>
      </w:r>
    </w:p>
    <w:p>
      <w:pPr>
        <w:ind w:firstLine="709"/>
        <w:spacing/>
        <w:jc w:val="both"/>
        <w:rPr>
          <w:color w:val="000000"/>
          <w:sz w:val="24"/>
          <w:szCs w:val="24"/>
        </w:rPr>
      </w:pPr>
      <w:r>
        <w:rPr>
          <w:color w:val="000000"/>
          <w:sz w:val="24"/>
          <w:szCs w:val="24"/>
        </w:rPr>
        <w:t>За 9 месяцев 2025 года были выделены средства в рамках реализации региональных целевых программ:</w:t>
      </w:r>
    </w:p>
    <w:p>
      <w:pPr>
        <w:ind w:firstLine="709"/>
        <w:spacing/>
        <w:jc w:val="both"/>
        <w:rPr>
          <w:color w:val="000000"/>
          <w:sz w:val="24"/>
          <w:szCs w:val="24"/>
        </w:rPr>
      </w:pPr>
      <w:r>
        <w:rPr>
          <w:color w:val="000000"/>
          <w:sz w:val="24"/>
          <w:szCs w:val="24"/>
        </w:rPr>
        <w:t>- выплаты стимулирующего характера работникам клубного типа, музея и библиотек – 2 776,4 тыс. руб., что составляет 66,6% от годового показателя.</w:t>
      </w:r>
    </w:p>
    <w:p>
      <w:pPr>
        <w:ind w:firstLine="709"/>
        <w:spacing/>
        <w:jc w:val="both"/>
        <w:rPr>
          <w:color w:val="000000"/>
          <w:sz w:val="24"/>
          <w:szCs w:val="24"/>
        </w:rPr>
      </w:pPr>
      <w:r>
        <w:rPr>
          <w:color w:val="000000"/>
          <w:sz w:val="24"/>
          <w:szCs w:val="24"/>
        </w:rPr>
        <w:t xml:space="preserve">Губернатором Кемеровской области-Кузбассу на 2025 год доведено целевое значение показателя «среднемесячная номинальная начисленная заработная плата работников муниципальных учреждений культуры и искусства» для учреждений культуры Анжеро-Судженского городского округа в размере 55 581,0 руб. </w:t>
      </w:r>
    </w:p>
    <w:p>
      <w:pPr>
        <w:ind w:firstLine="709"/>
        <w:spacing/>
        <w:jc w:val="both"/>
        <w:rPr>
          <w:color w:val="000000"/>
          <w:sz w:val="24"/>
          <w:szCs w:val="24"/>
        </w:rPr>
      </w:pPr>
      <w:r>
        <w:rPr>
          <w:color w:val="000000"/>
          <w:sz w:val="24"/>
          <w:szCs w:val="24"/>
        </w:rPr>
        <w:t xml:space="preserve">Значение показателя «Среднемесячная заработная плата работников учреждений культуры» за 9 месяцев 2025 года составило 54 841,0 руб. (98,7 % от доведенного целевого значения 55 581,0 руб.). </w:t>
      </w:r>
    </w:p>
    <w:p>
      <w:pPr>
        <w:ind w:firstLine="709"/>
        <w:spacing/>
        <w:jc w:val="both"/>
        <w:rPr>
          <w:color w:val="000000"/>
          <w:sz w:val="24"/>
          <w:szCs w:val="24"/>
        </w:rPr>
      </w:pPr>
      <w:r>
        <w:rPr>
          <w:color w:val="000000"/>
          <w:sz w:val="24"/>
          <w:szCs w:val="24"/>
        </w:rPr>
        <w:t xml:space="preserve">Среднемесячная заработная плата преподавателей школ за 9 месяцев 2025 года составила 63 341,0 рублей – 102,5% от плана (61 772,13 руб.). За соответствующий период 2024 года среднемесячная заработная плата преподавателей школ составила 64 554,0 руб. </w:t>
      </w:r>
    </w:p>
    <w:p>
      <w:pPr>
        <w:ind w:firstLine="709"/>
        <w:spacing/>
        <w:jc w:val="both"/>
        <w:rPr>
          <w:color w:val="000000"/>
          <w:sz w:val="24"/>
          <w:szCs w:val="24"/>
        </w:rPr>
      </w:pPr>
      <w:r>
        <w:rPr>
          <w:color w:val="000000"/>
          <w:sz w:val="24"/>
          <w:szCs w:val="24"/>
        </w:rPr>
        <w:t>В рамках «Программы финансового оздоровления Анжеро-Судженского городского округа на 2025-2028 годы» отслеживается соблюдение коэффициента кратности руководителей и работников учреждений, который не должен превышать предельного значения, равного 5.</w:t>
      </w:r>
    </w:p>
    <w:p>
      <w:pPr>
        <w:ind w:firstLine="709"/>
        <w:spacing/>
        <w:jc w:val="both"/>
        <w:rPr>
          <w:color w:val="000000"/>
          <w:sz w:val="24"/>
          <w:szCs w:val="24"/>
        </w:rPr>
      </w:pPr>
      <w:r>
        <w:rPr>
          <w:color w:val="000000"/>
          <w:sz w:val="24"/>
          <w:szCs w:val="24"/>
        </w:rPr>
        <w:t>За 9 месяцев 2025 года коэффициент кратности, характеризующий соотношение средней заработной платы руководителей образовательных учреждений культуры по отношению к списочному составу 1,46. Коэффициент кратности, характеризующий соотношение средней заработной платы руководителей учреждений культуры клубного типа, музея и библиотеки по отношению к списочному составу равен 1,95. Вышеуказанный коэффициент кратности не превышает предельного значения.</w:t>
      </w:r>
    </w:p>
    <w:p>
      <w:pPr>
        <w:ind w:firstLine="1"/>
        <w:spacing/>
        <w:jc w:val="both"/>
        <w:tabs defTabSz="708">
          <w:tab w:val="left" w:pos="1276" w:leader="none"/>
        </w:tabs>
        <w:rPr>
          <w:color w:val="000000"/>
          <w:sz w:val="24"/>
          <w:szCs w:val="24"/>
        </w:rPr>
      </w:pPr>
      <w:r>
        <w:rPr>
          <w:color w:val="000000"/>
          <w:sz w:val="24"/>
          <w:szCs w:val="24"/>
        </w:rPr>
        <w:t xml:space="preserve">    На развитие и модернизацию материально-технической базы учреждений культуры выделено 1 891,6 тыс. руб. (в том числе: за счет средств, полученных от приносящей доход деятельности – 1 824,9 тыс. руб.; за счет бюджетных средств – 66,7 тыс. руб.). Наиболее крупные расходы за 9 месяцев 2025 года направлены на приобретение: мебели – 216,3 тыс. руб., оргтехники – 170,0 тыс. руб., проектора - 99,0 тыс. руб., производственного инвентаря – 61,6 тыс. руб., беспроводной вокальной радиосистемы– 45,2 тыс. руб.</w:t>
      </w:r>
    </w:p>
    <w:p>
      <w:pPr>
        <w:ind w:firstLine="709"/>
        <w:spacing/>
        <w:jc w:val="center"/>
        <w:tabs defTabSz="720">
          <w:tab w:val="left" w:pos="1276" w:leader="none"/>
        </w:tabs>
        <w:rPr>
          <w:b/>
          <w:bCs/>
          <w:color w:val="000000"/>
          <w:sz w:val="24"/>
          <w:szCs w:val="24"/>
          <w:u w:color="auto" w:val="single"/>
        </w:rPr>
      </w:pPr>
      <w:r>
        <w:rPr>
          <w:b/>
          <w:bCs/>
          <w:color w:val="000000"/>
          <w:sz w:val="24"/>
          <w:szCs w:val="24"/>
          <w:u w:color="auto" w:val="single"/>
        </w:rPr>
        <w:t>Работа Городского краеведческого музея</w:t>
      </w:r>
    </w:p>
    <w:p>
      <w:pPr>
        <w:spacing/>
        <w:contextualSpacing/>
        <w:jc w:val="both"/>
        <w:tabs defTabSz="708">
          <w:tab w:val="left" w:pos="720" w:leader="none"/>
        </w:tabs>
        <w:rPr>
          <w:color w:val="000000"/>
          <w:sz w:val="24"/>
          <w:szCs w:val="24"/>
        </w:rPr>
      </w:pPr>
      <w:r>
        <w:rPr>
          <w:color w:val="000000"/>
          <w:sz w:val="24"/>
          <w:szCs w:val="24"/>
        </w:rPr>
        <w:tab/>
        <w:t xml:space="preserve"> </w:t>
        <w:tab/>
        <w:t xml:space="preserve">С января по сентябрь 2025 года количество музейных предметов основного Музейного фонда учреждения, опубликованных на экспозициях и выставках, составило  11396. Музейный фонд городского краеведческого музея пополнился на 50 предметов и по состоянию на 30.09.2025 насчитывает 50383 предмета.                 </w:t>
      </w:r>
    </w:p>
    <w:p>
      <w:pPr>
        <w:spacing/>
        <w:contextualSpacing/>
        <w:jc w:val="both"/>
        <w:tabs defTabSz="708">
          <w:tab w:val="left" w:pos="720" w:leader="none"/>
        </w:tabs>
        <w:rPr>
          <w:color w:val="000000"/>
          <w:sz w:val="24"/>
          <w:szCs w:val="24"/>
        </w:rPr>
      </w:pPr>
      <w:r>
        <w:rPr>
          <w:color w:val="000000"/>
          <w:sz w:val="24"/>
          <w:szCs w:val="24"/>
        </w:rPr>
        <w:t>За 9 месяцев 2025 г. в музее проведено 900 экскурсий, организовано 86 выставок, которые посетило 22474 человека. Число посещений музея,  включая массовые и культурно-образовательные мероприятия, составило 33417, из них в рамках выполнения муниципального задания – 27286, что составило 68% от общего плана на год  - 40130. В отчетный период реализованы 7 передвижных выставочных проектов.</w:t>
      </w:r>
    </w:p>
    <w:p>
      <w:pPr>
        <w:spacing/>
        <w:contextualSpacing/>
        <w:jc w:val="both"/>
        <w:tabs defTabSz="708">
          <w:tab w:val="left" w:pos="720" w:leader="none"/>
        </w:tabs>
        <w:rPr>
          <w:color w:val="000000"/>
          <w:sz w:val="24"/>
          <w:szCs w:val="24"/>
        </w:rPr>
      </w:pPr>
      <w:r>
        <w:rPr>
          <w:color w:val="000000"/>
          <w:sz w:val="24"/>
          <w:szCs w:val="24"/>
        </w:rPr>
        <w:tab/>
        <w:t>В отчётном периоде музей принимал участие в проведении Всекузбасских уроков мужества, в том числе в рамках реализации Всекузбасского патриотического музейно-выставочного проекта.</w:t>
      </w:r>
    </w:p>
    <w:p>
      <w:pPr>
        <w:spacing/>
        <w:contextualSpacing/>
        <w:jc w:val="both"/>
        <w:tabs defTabSz="708">
          <w:tab w:val="left" w:pos="720" w:leader="none"/>
        </w:tabs>
        <w:rPr>
          <w:color w:val="000000"/>
          <w:sz w:val="24"/>
          <w:szCs w:val="24"/>
        </w:rPr>
      </w:pPr>
      <w:r>
        <w:rPr>
          <w:color w:val="000000"/>
          <w:sz w:val="24"/>
          <w:szCs w:val="24"/>
        </w:rPr>
        <w:tab/>
        <w:t>С января по июнь 2025 года велась реализация Всекузбасского патриотического проекта «Маршруты Победы». За указанный период проведено 29 автобусно-пешеходных экскурсий «Все для фронта, все для Победы!», которые посетили 581 чел.</w:t>
      </w:r>
    </w:p>
    <w:p>
      <w:pPr>
        <w:spacing/>
        <w:contextualSpacing/>
        <w:jc w:val="both"/>
        <w:tabs defTabSz="708">
          <w:tab w:val="left" w:pos="720" w:leader="none"/>
        </w:tabs>
        <w:rPr>
          <w:color w:val="000000"/>
          <w:sz w:val="24"/>
          <w:szCs w:val="24"/>
        </w:rPr>
      </w:pPr>
      <w:r>
        <w:rPr>
          <w:color w:val="000000"/>
          <w:sz w:val="24"/>
          <w:szCs w:val="24"/>
        </w:rPr>
        <w:tab/>
        <w:t xml:space="preserve">Наиболее крупные и значимые мероприятия: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21.02.2025 - Лекция о трудовой доблести и воинской славе Анжеро-Судженска.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07.05.2025 - Торжественное подведение итогов VI городского видеоконкурса «Живые письма отгремевшей войны».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18.09.2025 - Музейная программа «Герои». Проведена в рамках акции «Ночь музеев», включала презентацию выставки «СВОи герои», рассказывающей об истории и участниках СВО, тематические экскурсии  по выставкам и экспозициям музея, мастер-класс по плетению браслетов спасения для СВО, познавательный квиз «О героях былых времен». </w:t>
      </w:r>
    </w:p>
    <w:p>
      <w:pPr>
        <w:pStyle w:val="para91"/>
        <w:ind w:left="0" w:firstLine="737"/>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28.05.2025 г. участие во Всероссийском музейном форуме (г. Кемерово). </w:t>
      </w:r>
    </w:p>
    <w:p>
      <w:pPr>
        <w:pStyle w:val="para91"/>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первом полугодии издан </w:t>
      </w: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том книги «Дважды победители».</w:t>
      </w:r>
    </w:p>
    <w:p>
      <w:pPr>
        <w:spacing/>
        <w:jc w:val="center"/>
        <w:tabs defTabSz="720">
          <w:tab w:val="left" w:pos="720" w:leader="none"/>
        </w:tabs>
        <w:rPr>
          <w:b/>
          <w:bCs/>
          <w:color w:val="000000"/>
          <w:sz w:val="24"/>
          <w:szCs w:val="24"/>
          <w:u w:color="auto" w:val="single"/>
        </w:rPr>
      </w:pPr>
      <w:r>
        <w:rPr>
          <w:b/>
          <w:bCs/>
          <w:color w:val="000000"/>
          <w:sz w:val="24"/>
          <w:szCs w:val="24"/>
          <w:u w:color="auto" w:val="single"/>
        </w:rPr>
        <w:t xml:space="preserve">Работа Централизованной библиотечной системы </w:t>
      </w:r>
    </w:p>
    <w:p>
      <w:pPr>
        <w:ind w:firstLine="708"/>
        <w:spacing/>
        <w:jc w:val="both"/>
        <w:rPr>
          <w:color w:val="000000"/>
          <w:sz w:val="24"/>
          <w:szCs w:val="24"/>
        </w:rPr>
      </w:pPr>
      <w:r>
        <w:rPr>
          <w:color w:val="000000"/>
          <w:sz w:val="24"/>
          <w:szCs w:val="24"/>
        </w:rPr>
        <w:t>За 9 месяцев 2025 году на комплектование фондов библиотек  из местного бюджета финансирования не выделено. На внебюджетные средства – 42018 руб.  приобретено 90 экземпляров новых изданий и 6 наименований периодических изданий (журналы).</w:t>
      </w:r>
    </w:p>
    <w:p>
      <w:pPr>
        <w:ind w:firstLine="567"/>
        <w:spacing/>
        <w:jc w:val="both"/>
        <w:rPr>
          <w:color w:val="000000"/>
          <w:sz w:val="24"/>
          <w:szCs w:val="24"/>
        </w:rPr>
      </w:pPr>
      <w:r>
        <w:rPr>
          <w:color w:val="000000"/>
          <w:sz w:val="24"/>
          <w:szCs w:val="24"/>
        </w:rPr>
        <w:t xml:space="preserve">Всего за 9 месяцев 2025 года библиотечный фонд пополнился на 869 экземпляра книг (в том числе замена утерянных).                       </w:t>
      </w:r>
    </w:p>
    <w:p>
      <w:pPr>
        <w:ind w:firstLine="567"/>
        <w:spacing/>
        <w:jc w:val="both"/>
        <w:rPr>
          <w:color w:val="000000"/>
          <w:sz w:val="24"/>
          <w:szCs w:val="24"/>
        </w:rPr>
      </w:pPr>
      <w:r>
        <w:rPr>
          <w:color w:val="000000"/>
          <w:sz w:val="24"/>
          <w:szCs w:val="24"/>
        </w:rPr>
        <w:t xml:space="preserve">По состоянию на 01.10.2025 года библиотечный фонд </w:t>
      </w:r>
      <w:r>
        <w:rPr>
          <w:bCs/>
          <w:color w:val="000000"/>
          <w:sz w:val="24"/>
          <w:szCs w:val="24"/>
        </w:rPr>
        <w:t>Централизованной библиотечной системы</w:t>
      </w:r>
      <w:r>
        <w:rPr>
          <w:color w:val="000000"/>
          <w:sz w:val="24"/>
          <w:szCs w:val="24"/>
        </w:rPr>
        <w:t xml:space="preserve"> насчитывает 293035 экземпляров. </w:t>
      </w:r>
    </w:p>
    <w:p>
      <w:pPr>
        <w:ind w:firstLine="708"/>
        <w:spacing w:line="216" w:lineRule="auto"/>
        <w:jc w:val="both"/>
        <w:rPr>
          <w:color w:val="000000"/>
          <w:sz w:val="24"/>
          <w:szCs w:val="24"/>
        </w:rPr>
      </w:pPr>
      <w:r>
        <w:rPr>
          <w:color w:val="000000"/>
          <w:sz w:val="24"/>
          <w:szCs w:val="24"/>
        </w:rPr>
        <w:t>С целью создания условий для улучшения доступа граждан                        к информации и знаниям за 9 месяцев 2025г. библиотеки посетили  - 270161 человек, что больше предыдущего периода на 45245 человек. Выполнение муниципального задания  на 01.10.2025 года составляет 89,2%.</w:t>
      </w:r>
    </w:p>
    <w:p>
      <w:pPr>
        <w:pStyle w:val="para30"/>
        <w:ind w:firstLine="624"/>
        <w:spacing/>
        <w:jc w:val="both"/>
        <w:tabs defTabSz="708">
          <w:tab w:val="clear" w:pos="4153" w:leader="none"/>
          <w:tab w:val="center" w:pos="4677" w:leader="none"/>
          <w:tab w:val="clear" w:pos="8306" w:leader="none"/>
          <w:tab w:val="right" w:pos="9355" w:leader="none"/>
        </w:tabs>
        <w:rPr>
          <w:color w:val="000000"/>
          <w:sz w:val="24"/>
          <w:szCs w:val="24"/>
        </w:rPr>
      </w:pPr>
      <w:r>
        <w:rPr>
          <w:color w:val="000000"/>
          <w:sz w:val="24"/>
          <w:szCs w:val="24"/>
        </w:rPr>
        <w:tab/>
        <w:t xml:space="preserve">Объем электронного каталога – 130094 библиографические записи, каталог доступен для пользователей на официальном сайте МБУК «ЦБС» </w:t>
      </w:r>
      <w:hyperlink r:id="rId13" w:history="1">
        <w:r>
          <w:rPr>
            <w:rStyle w:val="char17"/>
            <w:color w:val="000000"/>
            <w:sz w:val="24"/>
            <w:szCs w:val="24"/>
            <w:lang w:val="en-us"/>
          </w:rPr>
          <w:t>http</w:t>
        </w:r>
        <w:r>
          <w:rPr>
            <w:rStyle w:val="char17"/>
            <w:color w:val="000000"/>
            <w:sz w:val="24"/>
            <w:szCs w:val="24"/>
          </w:rPr>
          <w:t>://</w:t>
        </w:r>
        <w:r>
          <w:rPr>
            <w:rStyle w:val="char17"/>
            <w:color w:val="000000"/>
            <w:sz w:val="24"/>
            <w:szCs w:val="24"/>
            <w:lang w:val="en-us"/>
          </w:rPr>
          <w:t>ancbs</w:t>
        </w:r>
        <w:r>
          <w:rPr>
            <w:rStyle w:val="char17"/>
            <w:color w:val="000000"/>
            <w:sz w:val="24"/>
            <w:szCs w:val="24"/>
          </w:rPr>
          <w:t>.</w:t>
        </w:r>
        <w:r>
          <w:rPr>
            <w:rStyle w:val="char17"/>
            <w:color w:val="000000"/>
            <w:sz w:val="24"/>
            <w:szCs w:val="24"/>
            <w:lang w:val="en-us"/>
          </w:rPr>
          <w:t>ucoz</w:t>
        </w:r>
        <w:r>
          <w:rPr>
            <w:rStyle w:val="char17"/>
            <w:color w:val="000000"/>
            <w:sz w:val="24"/>
            <w:szCs w:val="24"/>
          </w:rPr>
          <w:t>.</w:t>
        </w:r>
        <w:r>
          <w:rPr>
            <w:rStyle w:val="char17"/>
            <w:color w:val="000000"/>
            <w:sz w:val="24"/>
            <w:szCs w:val="24"/>
            <w:lang w:val="en-us"/>
          </w:rPr>
          <w:t>ru</w:t>
        </w:r>
        <w:r>
          <w:rPr>
            <w:rStyle w:val="char17"/>
            <w:color w:val="000000"/>
            <w:sz w:val="24"/>
            <w:szCs w:val="24"/>
          </w:rPr>
          <w:t>/</w:t>
        </w:r>
      </w:hyperlink>
    </w:p>
    <w:p>
      <w:pPr>
        <w:ind w:firstLine="709"/>
        <w:spacing/>
        <w:contextualSpacing/>
        <w:jc w:val="both"/>
        <w:widowControl/>
        <w:rPr>
          <w:color w:val="000000"/>
          <w:sz w:val="24"/>
          <w:szCs w:val="24"/>
        </w:rPr>
      </w:pPr>
      <w:r>
        <w:rPr>
          <w:color w:val="000000"/>
          <w:sz w:val="24"/>
          <w:szCs w:val="24"/>
        </w:rPr>
        <w:t xml:space="preserve">МБУК «ЦБС» реализует региональный проект </w:t>
      </w:r>
      <w:r>
        <w:rPr>
          <w:b/>
          <w:bCs/>
          <w:i/>
          <w:iCs/>
          <w:color w:val="000000"/>
          <w:sz w:val="24"/>
          <w:szCs w:val="24"/>
        </w:rPr>
        <w:t>«Электронная библиотека Кузбасса»</w:t>
      </w:r>
      <w:r>
        <w:rPr>
          <w:color w:val="000000"/>
          <w:sz w:val="24"/>
          <w:szCs w:val="24"/>
        </w:rPr>
        <w:t xml:space="preserve">, включающий: «Современное краеведение», «Литературная карта Кузбасса», «Выдающиеся деятели культуры Кемеровской области», «Памятники Кузбасса», «Знаменательные и памятные даты Кемеровской области», «Культурный туризм». </w:t>
      </w:r>
    </w:p>
    <w:p>
      <w:pPr>
        <w:ind w:firstLine="709"/>
        <w:spacing/>
        <w:contextualSpacing/>
        <w:jc w:val="both"/>
        <w:widowControl/>
        <w:rPr>
          <w:color w:val="000000"/>
          <w:sz w:val="24"/>
          <w:szCs w:val="24"/>
        </w:rPr>
      </w:pPr>
      <w:r>
        <w:rPr>
          <w:color w:val="000000"/>
          <w:sz w:val="24"/>
          <w:szCs w:val="24"/>
        </w:rPr>
        <w:t xml:space="preserve">Все библиотеки внедряют </w:t>
      </w:r>
      <w:r>
        <w:rPr>
          <w:color w:val="000000"/>
          <w:sz w:val="24"/>
          <w:szCs w:val="24"/>
          <w:lang w:eastAsia="en-us"/>
        </w:rPr>
        <w:t xml:space="preserve">автоматизированную систему учета пользователей, </w:t>
      </w:r>
      <w:r>
        <w:rPr>
          <w:color w:val="000000"/>
          <w:sz w:val="24"/>
          <w:szCs w:val="24"/>
        </w:rPr>
        <w:t>имеют выход в интернет, подключены к Национальной электронной библиотеке (НЭБ) и Национальной электронной детской библиотеке (НЭДБ).</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В библиотеках МБУК «ЦБС» прошли такие значимые события как:</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акция «Читаем детям о Великой Отечественной войне»;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-«Сталинград: 200 минут чтения»;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акция-перекличка «Открывая дверь в библиотеки России»;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-всероссийская Неделя детской книги; </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Мероприятия региональных проектов, посвящённых 80-летию Победы: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-Новое прочтение; книги о войне;</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-Семейная хроника войны;</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-80 дней до Победы. По страницам местной печати.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региональной Недели детской книги: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Библиотеки стали площадками муниципальных этапов всероссийских конкурсов «Страница 2025», «Живая классика», 2 заочного этапа всероссийской олимпиады «Символы России».</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 Центральной библиотеки предоставила опыт работы  на Международный конкурс «Лучшие практики библиотек по сохранению исторической памяти о героях ВОВ» (РГБ).</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Библиотекари МБУК «ЦБС» приняли участие  во 2-м основном грантовом конкурсе ПФКИ с проектом «Мультстудия «Фронтовая анимация».</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Работа Дворцов культуры и клубов</w:t>
      </w:r>
    </w:p>
    <w:p>
      <w:pPr>
        <w:ind w:firstLine="624"/>
        <w:spacing/>
        <w:jc w:val="both"/>
        <w:rPr>
          <w:rFonts w:eastAsia="Calibri"/>
          <w:color w:val="000000"/>
          <w:sz w:val="24"/>
          <w:szCs w:val="24"/>
        </w:rPr>
      </w:pPr>
      <w:r>
        <w:rPr>
          <w:color w:val="000000"/>
          <w:sz w:val="24"/>
          <w:szCs w:val="24"/>
        </w:rPr>
        <w:t xml:space="preserve">За 9 месяцев 2025 года в учреждениях культуры действовало </w:t>
      </w:r>
      <w:r>
        <w:rPr>
          <w:b/>
          <w:color w:val="000000"/>
          <w:sz w:val="24"/>
          <w:szCs w:val="24"/>
        </w:rPr>
        <w:t>182 клубных формирований</w:t>
      </w:r>
      <w:r>
        <w:rPr>
          <w:color w:val="000000"/>
          <w:sz w:val="24"/>
          <w:szCs w:val="24"/>
        </w:rPr>
        <w:t xml:space="preserve">, являющихся неотъемлемым компонентом культурной среды городского округа. В общем числе коллективов </w:t>
      </w:r>
      <w:r>
        <w:rPr>
          <w:b/>
          <w:color w:val="000000"/>
          <w:sz w:val="24"/>
          <w:szCs w:val="24"/>
        </w:rPr>
        <w:t xml:space="preserve">- 12 «народных» и «образцовых» </w:t>
      </w:r>
      <w:r>
        <w:rPr>
          <w:color w:val="000000"/>
          <w:sz w:val="24"/>
          <w:szCs w:val="24"/>
        </w:rPr>
        <w:t xml:space="preserve">коллективов. </w:t>
      </w:r>
      <w:r>
        <w:rPr>
          <w:rFonts w:eastAsia="Calibri"/>
          <w:color w:val="000000"/>
          <w:sz w:val="24"/>
          <w:szCs w:val="24"/>
        </w:rPr>
        <w:t>Общее количество участников в клубных формированиях составило – 5207 человека.</w:t>
      </w:r>
      <w:r>
        <w:rPr>
          <w:rFonts w:eastAsia="Calibri"/>
          <w:color w:val="000000"/>
          <w:sz w:val="24"/>
          <w:szCs w:val="24"/>
        </w:rPr>
      </w:r>
    </w:p>
    <w:p>
      <w:pPr>
        <w:spacing/>
        <w:jc w:val="both"/>
        <w:rPr>
          <w:color w:val="000000"/>
          <w:sz w:val="24"/>
          <w:szCs w:val="24"/>
        </w:rPr>
      </w:pPr>
      <w:r>
        <w:rPr>
          <w:color w:val="000000"/>
          <w:sz w:val="24"/>
          <w:szCs w:val="24"/>
        </w:rPr>
        <w:t xml:space="preserve">   В 1 полугодие 2025 года учреждениями культуры клубного типа проведено 2133 мероприятий, которые посетило 1062229 человек, в том числе 3 мероприятия антинаркотической направленности, которые посетило  1297  человека.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Наиболее значимые мероприятия в отчётный период:</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-открытие Года защитника Отечества;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-всероссийская акция «Блокадный хлеб», час памяти, посвящённый Дню полного освобождения Ленинграда от фашистской блокады; </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-час памяти, посвящённый  выводу советских войск из Афганистана;</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shd w:val="clear" w:fill="ffffff"/>
        </w:rPr>
      </w:pPr>
      <w:r>
        <w:rPr>
          <w:color w:val="000000"/>
          <w:sz w:val="24"/>
          <w:szCs w:val="24"/>
        </w:rPr>
        <w:t>- фестиваль-конкурс православной культуры «Благовест»</w:t>
      </w:r>
      <w:r>
        <w:rPr>
          <w:color w:val="000000"/>
          <w:sz w:val="24"/>
          <w:szCs w:val="24"/>
          <w:shd w:val="clear" w:fill="ffffff"/>
        </w:rPr>
        <w:t xml:space="preserve">, </w:t>
      </w:r>
      <w:r>
        <w:rPr>
          <w:color w:val="000000"/>
          <w:sz w:val="24"/>
          <w:szCs w:val="24"/>
          <w:shd w:val="clear" w:fill="ffffff"/>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shd w:val="clear" w:fill="ffffff"/>
        </w:rPr>
        <w:t xml:space="preserve">- межрегиональный патриотический проект «Красный обоз»,  </w:t>
      </w:r>
      <w:r>
        <w:rPr>
          <w:color w:val="000000"/>
          <w:sz w:val="24"/>
          <w:szCs w:val="24"/>
        </w:rPr>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-молодёжный военно-патриотический фестиваль «Виват, Виктория!».</w:t>
      </w:r>
    </w:p>
    <w:p>
      <w:pPr>
        <w:ind w:firstLine="709"/>
        <w: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-праздничные программы, посвящённые Дню защитника Отечества, международному женскому дню, Дню Победы в ВОВ, Дню России, часы памяти, посвящённые Дню защитника Отчества, Дню Победы в ВОВ, Дню памяти и скорби,   народное гуляние «Масленичный разгуляй», городской тур областного конкурса «Семья. Экология. Культура». </w:t>
      </w:r>
    </w:p>
    <w:p>
      <w:pPr>
        <w:ind w:firstLine="680"/>
        <w:spacing/>
        <w:contextualSpacing/>
        <w:jc w:val="both"/>
        <w:tabs defTabSz="720">
          <w:tab w:val="left" w:pos="680" w:leader="none"/>
        </w:tabs>
        <w:rPr>
          <w:color w:val="000000"/>
          <w:sz w:val="24"/>
          <w:szCs w:val="24"/>
        </w:rPr>
      </w:pPr>
      <w:r>
        <w:rPr>
          <w:color w:val="000000"/>
          <w:sz w:val="24"/>
          <w:szCs w:val="24"/>
        </w:rPr>
        <w:t xml:space="preserve">   </w:t>
      </w:r>
    </w:p>
    <w:p>
      <w:pPr>
        <w:pStyle w:val="para91"/>
        <w:ind w:left="360"/>
        <w:spacing/>
        <w:jc w:val="center"/>
        <w:rPr>
          <w:rFonts w:ascii="Times New Roman" w:hAnsi="Times New Roman" w:cs="Times New Roman"/>
          <w:b/>
          <w:bCs/>
          <w:color w:val="000000"/>
          <w:sz w:val="24"/>
          <w:szCs w:val="24"/>
          <w:u w:color="auto" w:val="single"/>
        </w:rPr>
      </w:pPr>
      <w:r>
        <w:rPr>
          <w:rFonts w:ascii="Times New Roman" w:hAnsi="Times New Roman" w:cs="Times New Roman"/>
          <w:b/>
          <w:bCs/>
          <w:color w:val="000000"/>
          <w:sz w:val="24"/>
          <w:szCs w:val="24"/>
          <w:u w:color="auto" w:val="single"/>
        </w:rPr>
        <w:t>Участие в конкурсах и фестивалях</w:t>
      </w:r>
    </w:p>
    <w:p>
      <w:pPr>
        <w:pStyle w:val="para91"/>
        <w:ind w:left="0" w:firstLine="709"/>
        <w:spacing w:after="0" w:line="240" w:lineRule="auto"/>
        <w:jc w:val="both"/>
        <w:tabs defTabSz="720">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С целью выявления и поддержки талантливых детей и подростков, создания условий для творческого саморазвития и раскрытия таланта проведены городские конкурсы на грант главы Анжеро-Судженского городского округа:</w:t>
      </w:r>
    </w:p>
    <w:p>
      <w:pPr>
        <w:ind w:firstLine="709"/>
        <w:spacing/>
        <w:contextualSpacing/>
        <w:jc w:val="both"/>
        <w:widowControl/>
        <w:tabs defTabSz="708">
          <w:tab w:val="left" w:pos="1276" w:leader="none"/>
        </w:tabs>
        <w:rPr>
          <w:color w:val="000000"/>
          <w:sz w:val="24"/>
          <w:szCs w:val="24"/>
        </w:rPr>
      </w:pPr>
      <w:r>
        <w:rPr>
          <w:color w:val="000000"/>
          <w:sz w:val="24"/>
          <w:szCs w:val="24"/>
        </w:rPr>
        <w:t>-конкурс исполнителей на народных и духовых инструментах «Музыкальный Олимп Кузбасса»,</w:t>
      </w:r>
    </w:p>
    <w:p>
      <w:pPr>
        <w:ind w:firstLine="709"/>
        <w:spacing/>
        <w:contextualSpacing/>
        <w:jc w:val="both"/>
        <w:widowControl/>
        <w:rPr>
          <w:color w:val="000000"/>
          <w:sz w:val="24"/>
          <w:szCs w:val="24"/>
        </w:rPr>
      </w:pPr>
      <w:r>
        <w:rPr>
          <w:color w:val="000000"/>
          <w:sz w:val="24"/>
          <w:szCs w:val="24"/>
        </w:rPr>
        <w:t>-конкурс художественного творчества «Как отцы и деды делали победы»,</w:t>
      </w:r>
    </w:p>
    <w:p>
      <w:pPr>
        <w:ind w:firstLine="709"/>
        <w:spacing/>
        <w:contextualSpacing/>
        <w:jc w:val="both"/>
        <w:widowControl/>
        <w:rPr>
          <w:color w:val="000000"/>
          <w:sz w:val="24"/>
          <w:szCs w:val="24"/>
        </w:rPr>
      </w:pPr>
      <w:r>
        <w:rPr>
          <w:bCs/>
          <w:color w:val="000000"/>
          <w:sz w:val="24"/>
          <w:szCs w:val="24"/>
        </w:rPr>
        <w:t>-</w:t>
      </w:r>
      <w:r>
        <w:rPr>
          <w:color w:val="000000"/>
          <w:sz w:val="24"/>
          <w:szCs w:val="24"/>
        </w:rPr>
        <w:t>вокальный конкурс «Лучший исполнитель эстрадной песни-2025» («Молодой Анжеро-Судженск»),</w:t>
      </w:r>
    </w:p>
    <w:p>
      <w:pPr>
        <w:ind w:firstLine="709"/>
        <w:spacing/>
        <w:contextualSpacing/>
        <w:jc w:val="both"/>
        <w:widowControl/>
        <w:rPr>
          <w:color w:val="000000"/>
          <w:sz w:val="24"/>
          <w:szCs w:val="24"/>
        </w:rPr>
      </w:pPr>
      <w:r>
        <w:rPr>
          <w:color w:val="000000"/>
          <w:sz w:val="24"/>
          <w:szCs w:val="24"/>
        </w:rPr>
        <w:t>-конкурс хореографических коллективов «В движении».</w:t>
      </w:r>
    </w:p>
    <w:p>
      <w:pPr>
        <w:spacing/>
        <w:jc w:val="both"/>
        <w:tabs defTabSz="708">
          <w:tab w:val="left" w:pos="1276" w:leader="none"/>
        </w:tabs>
        <w:rPr>
          <w:color w:val="000000"/>
          <w:sz w:val="24"/>
          <w:szCs w:val="24"/>
        </w:rPr>
      </w:pPr>
      <w:r>
        <w:rPr>
          <w:color w:val="000000"/>
          <w:sz w:val="24"/>
          <w:szCs w:val="24"/>
        </w:rPr>
        <w:t xml:space="preserve">    За 9 месяцев 2025 года были выделены средства для вручения муниципальных грантов в сумме 59,9 тыс. рублей по итогам вышеперечисленных городских конкурсов.</w:t>
      </w:r>
    </w:p>
    <w:p>
      <w:pPr>
        <w:ind w:firstLine="709"/>
        <w:spacing/>
        <w:contextualSpacing/>
        <w:jc w:val="both"/>
        <w:widowControl/>
        <w:rPr>
          <w:bCs/>
          <w:color w:val="000000"/>
          <w:sz w:val="24"/>
          <w:szCs w:val="24"/>
        </w:rPr>
      </w:pPr>
      <w:r>
        <w:rPr>
          <w:color w:val="000000"/>
          <w:sz w:val="24"/>
          <w:szCs w:val="24"/>
        </w:rPr>
        <w:tab/>
      </w:r>
      <w:r>
        <w:rPr>
          <w:bCs/>
          <w:color w:val="000000"/>
          <w:sz w:val="24"/>
          <w:szCs w:val="24"/>
        </w:rPr>
        <w:t xml:space="preserve">За 9 месяцев 2025 года творческие коллективы </w:t>
      </w:r>
      <w:r>
        <w:rPr>
          <w:bCs/>
          <w:color w:val="000000"/>
          <w:sz w:val="24"/>
          <w:szCs w:val="24"/>
        </w:rPr>
        <w:t xml:space="preserve">и работники учреждений культуры </w:t>
      </w:r>
      <w:r>
        <w:rPr>
          <w:bCs/>
          <w:color w:val="000000"/>
          <w:sz w:val="24"/>
          <w:szCs w:val="24"/>
        </w:rPr>
        <w:t xml:space="preserve">приняли участие </w:t>
      </w:r>
      <w:r>
        <w:rPr>
          <w:color w:val="000000"/>
          <w:sz w:val="24"/>
          <w:szCs w:val="24"/>
        </w:rPr>
        <w:t>в 54 фестивалях и конкурсах различных уровней: международных -</w:t>
      </w:r>
      <w:r>
        <w:rPr>
          <w:bCs/>
          <w:color w:val="000000"/>
          <w:sz w:val="24"/>
          <w:szCs w:val="24"/>
        </w:rPr>
        <w:t xml:space="preserve"> 17, всероссийских - 10, региональных - 19, муниципальных - 14.</w:t>
      </w:r>
      <w:r>
        <w:rPr>
          <w:color w:val="000000"/>
          <w:sz w:val="24"/>
          <w:szCs w:val="24"/>
        </w:rPr>
        <w:t>1. Всекузбасский фестиваль-конкурс «Виктория. Песни Победы»</w:t>
      </w:r>
      <w:r>
        <w:rPr>
          <w:bCs/>
          <w:color w:val="000000"/>
          <w:sz w:val="24"/>
          <w:szCs w:val="24"/>
        </w:rPr>
        <w:t>,</w:t>
      </w:r>
      <w:r>
        <w:rPr>
          <w:color w:val="000000"/>
          <w:sz w:val="24"/>
          <w:szCs w:val="24"/>
        </w:rPr>
        <w:t xml:space="preserve"> 3 диплома Лауреата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2. </w:t>
      </w:r>
      <w:r>
        <w:rPr>
          <w:color w:val="000000"/>
          <w:sz w:val="24"/>
          <w:szCs w:val="24"/>
        </w:rPr>
        <w:t>Региональном фестивале-конкурсе православной культуры «Благовест»</w:t>
      </w:r>
      <w:r>
        <w:rPr>
          <w:bCs/>
          <w:color w:val="000000"/>
          <w:sz w:val="24"/>
          <w:szCs w:val="24"/>
        </w:rPr>
        <w:t xml:space="preserve">, </w:t>
      </w:r>
      <w:r>
        <w:rPr>
          <w:color w:val="000000"/>
          <w:sz w:val="24"/>
          <w:szCs w:val="24"/>
        </w:rPr>
        <w:t>диплом 1 степени</w:t>
      </w:r>
      <w:r>
        <w:rPr>
          <w:bCs/>
          <w:color w:val="000000"/>
          <w:sz w:val="24"/>
          <w:szCs w:val="24"/>
        </w:rPr>
        <w:t>;</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3. </w:t>
      </w:r>
      <w:r>
        <w:rPr>
          <w:color w:val="000000"/>
          <w:sz w:val="24"/>
          <w:szCs w:val="24"/>
        </w:rPr>
        <w:t>Международный фестиваль-конкурс по хореографическому искусству «Антигравитация»</w:t>
      </w:r>
      <w:r>
        <w:rPr>
          <w:bCs/>
          <w:color w:val="000000"/>
          <w:sz w:val="24"/>
          <w:szCs w:val="24"/>
        </w:rPr>
        <w:t>, 2 диплома Лауреата I степени</w:t>
      </w:r>
      <w:r>
        <w:rPr>
          <w:bCs/>
          <w:color w:val="000000"/>
          <w:sz w:val="24"/>
          <w:szCs w:val="24"/>
        </w:rPr>
        <w:t>;</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4. </w:t>
      </w:r>
      <w:r>
        <w:rPr>
          <w:color w:val="000000"/>
          <w:sz w:val="24"/>
          <w:szCs w:val="24"/>
        </w:rPr>
        <w:t>Городской вокальный конкурс «Лучший исполнитель эстрадной песни - 2025» (Молодой Анжеро-Судженск), гран-при;</w:t>
      </w:r>
    </w:p>
    <w:p>
      <w:pPr>
        <w:ind w:firstLine="709"/>
        <w:spacing/>
        <w:contextualSpacing/>
        <w:jc w:val="both"/>
        <w:widowControl/>
        <w:rPr>
          <w:color w:val="000000"/>
          <w:sz w:val="24"/>
          <w:szCs w:val="24"/>
        </w:rPr>
      </w:pPr>
      <w:r>
        <w:rPr>
          <w:color w:val="000000"/>
          <w:sz w:val="24"/>
          <w:szCs w:val="24"/>
        </w:rPr>
        <w:t>5. Региональный фестиваль-конкурс актерского мастерства «Басня», диплом Лауреата I степени;</w:t>
      </w:r>
    </w:p>
    <w:p>
      <w:pPr>
        <w:ind w:firstLine="709"/>
        <w:spacing/>
        <w:contextualSpacing/>
        <w:jc w:val="both"/>
        <w:widowControl/>
        <w:rPr>
          <w:color w:val="000000"/>
          <w:sz w:val="24"/>
          <w:szCs w:val="24"/>
        </w:rPr>
      </w:pPr>
      <w:r>
        <w:rPr>
          <w:color w:val="000000"/>
          <w:sz w:val="24"/>
          <w:szCs w:val="24"/>
        </w:rPr>
        <w:t>6. Международный  конкурс – фестиваль «Родины сыны», диплом лауреата 1 степени;</w:t>
      </w:r>
    </w:p>
    <w:p>
      <w:pPr>
        <w:ind w:firstLine="709"/>
        <w:spacing/>
        <w:contextualSpacing/>
        <w:jc w:val="both"/>
        <w:widowControl/>
        <w:rPr>
          <w:color w:val="000000"/>
          <w:sz w:val="24"/>
          <w:szCs w:val="24"/>
        </w:rPr>
      </w:pPr>
      <w:r>
        <w:rPr>
          <w:color w:val="000000"/>
          <w:sz w:val="24"/>
          <w:szCs w:val="24"/>
        </w:rPr>
        <w:t>7. Международный фестиваль искусства и творчества «Феникс мира»,   диплом Лауреата 1 степени.</w:t>
      </w:r>
    </w:p>
    <w:p>
      <w:pPr>
        <w:ind w:firstLine="709"/>
        <w:spacing/>
        <w:contextualSpacing/>
        <w:jc w:val="both"/>
        <w:widowControl/>
        <w:rPr>
          <w:bCs/>
          <w:color w:val="000000"/>
          <w:sz w:val="24"/>
          <w:szCs w:val="24"/>
        </w:rPr>
      </w:pPr>
      <w:r>
        <w:rPr>
          <w:color w:val="000000"/>
          <w:sz w:val="24"/>
          <w:szCs w:val="24"/>
        </w:rPr>
        <w:t xml:space="preserve">8. Международный фестиваль по хореографии «Танцевальный Олимп»,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9. </w:t>
      </w:r>
      <w:r>
        <w:rPr>
          <w:color w:val="000000"/>
          <w:sz w:val="24"/>
          <w:szCs w:val="24"/>
        </w:rPr>
        <w:t xml:space="preserve">Региональный конкурс «Школьная весна в Кузбассе — 2025», </w:t>
      </w:r>
      <w:r>
        <w:rPr>
          <w:bCs/>
          <w:color w:val="000000"/>
          <w:sz w:val="24"/>
          <w:szCs w:val="24"/>
        </w:rPr>
        <w:t>2 диплома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10. </w:t>
      </w:r>
      <w:r>
        <w:rPr>
          <w:color w:val="000000"/>
          <w:sz w:val="24"/>
          <w:szCs w:val="24"/>
        </w:rPr>
        <w:t xml:space="preserve">XIV Открытый городской фестиваль «Казачий бал», </w:t>
      </w:r>
      <w:r>
        <w:rPr>
          <w:bCs/>
          <w:color w:val="000000"/>
          <w:sz w:val="24"/>
          <w:szCs w:val="24"/>
        </w:rPr>
        <w:t>2 диплома Лауреата I степени;</w:t>
      </w:r>
      <w:r>
        <w:rPr>
          <w:bCs/>
          <w:color w:val="000000"/>
          <w:sz w:val="24"/>
          <w:szCs w:val="24"/>
        </w:rPr>
      </w:r>
    </w:p>
    <w:p>
      <w:pPr>
        <w:ind w:firstLine="709"/>
        <w:spacing/>
        <w:contextualSpacing/>
        <w:jc w:val="both"/>
        <w:widowControl/>
        <w:rPr>
          <w:color w:val="000000"/>
          <w:sz w:val="24"/>
          <w:szCs w:val="24"/>
        </w:rPr>
      </w:pPr>
      <w:r>
        <w:rPr>
          <w:bCs/>
          <w:color w:val="000000"/>
          <w:sz w:val="24"/>
          <w:szCs w:val="24"/>
        </w:rPr>
        <w:t xml:space="preserve">11. </w:t>
      </w:r>
      <w:r>
        <w:rPr>
          <w:color w:val="000000"/>
          <w:sz w:val="24"/>
          <w:szCs w:val="24"/>
          <w:lang w:val="en-us"/>
        </w:rPr>
        <w:t>XII</w:t>
      </w:r>
      <w:r>
        <w:rPr>
          <w:color w:val="000000"/>
          <w:sz w:val="24"/>
          <w:szCs w:val="24"/>
        </w:rPr>
        <w:t xml:space="preserve"> Межрегиональный фестиваль-конкурс казачьей культуры «Кузнецкая вольница», диплом лауреата </w:t>
      </w:r>
      <w:r>
        <w:rPr>
          <w:color w:val="000000"/>
          <w:sz w:val="24"/>
          <w:szCs w:val="24"/>
          <w:lang w:val="en-us"/>
        </w:rPr>
        <w:t>II</w:t>
      </w:r>
      <w:r>
        <w:rPr>
          <w:color w:val="000000"/>
          <w:sz w:val="24"/>
          <w:szCs w:val="24"/>
        </w:rPr>
        <w:t xml:space="preserve"> степени получил народный самодеятельный коллектив, хор казачьей песни «Раздолье»;</w:t>
      </w:r>
    </w:p>
    <w:p>
      <w:pPr>
        <w:ind w:firstLine="709"/>
        <w:spacing/>
        <w:contextualSpacing/>
        <w:jc w:val="both"/>
        <w:widowControl/>
        <w:rPr>
          <w:bCs/>
          <w:color w:val="000000"/>
          <w:sz w:val="24"/>
          <w:szCs w:val="24"/>
        </w:rPr>
      </w:pPr>
      <w:r>
        <w:rPr>
          <w:color w:val="000000"/>
          <w:sz w:val="24"/>
          <w:szCs w:val="24"/>
        </w:rPr>
        <w:t xml:space="preserve">12. </w:t>
      </w:r>
      <w:r>
        <w:rPr>
          <w:color w:val="000000"/>
          <w:sz w:val="24"/>
          <w:szCs w:val="24"/>
          <w:lang w:eastAsia="en-us"/>
        </w:rPr>
        <w:t xml:space="preserve">Всекузбасского фестиваля-конкурса «Виктория. Песни Победы», </w:t>
      </w:r>
      <w:r>
        <w:rPr>
          <w:bCs/>
          <w:color w:val="000000"/>
          <w:sz w:val="24"/>
          <w:szCs w:val="24"/>
        </w:rPr>
        <w:t>диплом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t xml:space="preserve">13. </w:t>
      </w:r>
      <w:r>
        <w:rPr>
          <w:color w:val="000000"/>
          <w:sz w:val="24"/>
          <w:szCs w:val="24"/>
        </w:rPr>
        <w:t xml:space="preserve">X Всероссийского конкурса творческих проектов «Грани мастерства» в направлении «Мастерство сценариста. Профессиональный проект», </w:t>
      </w:r>
      <w:r>
        <w:rPr>
          <w:bCs/>
          <w:color w:val="000000"/>
          <w:sz w:val="24"/>
          <w:szCs w:val="24"/>
        </w:rPr>
        <w:t>диплом Лауреата I степени.</w:t>
      </w:r>
      <w:r>
        <w:rPr>
          <w:bCs/>
          <w:color w:val="000000"/>
          <w:sz w:val="24"/>
          <w:szCs w:val="24"/>
        </w:rPr>
      </w:r>
    </w:p>
    <w:p>
      <w:pPr>
        <w:ind w:firstLine="709"/>
        <w:spacing/>
        <w:contextualSpacing/>
        <w:jc w:val="both"/>
        <w:widowControl/>
        <w:rPr>
          <w:bCs/>
          <w:color w:val="000000"/>
          <w:sz w:val="24"/>
          <w:szCs w:val="24"/>
        </w:rPr>
      </w:pPr>
      <w:r>
        <w:rPr>
          <w:bCs/>
          <w:color w:val="000000"/>
          <w:sz w:val="24"/>
          <w:szCs w:val="24"/>
        </w:rPr>
      </w:r>
    </w:p>
    <w:p>
      <w:pPr>
        <w:spacing/>
        <w:jc w:val="center"/>
        <w:tabs defTabSz="720">
          <w:tab w:val="left" w:pos="1260" w:leader="none"/>
        </w:tabs>
        <w:rPr>
          <w:b/>
          <w:bCs/>
          <w:color w:val="000000"/>
          <w:sz w:val="24"/>
          <w:szCs w:val="24"/>
          <w:u w:color="auto" w:val="single"/>
        </w:rPr>
      </w:pPr>
      <w:r>
        <w:rPr>
          <w:b/>
          <w:bCs/>
          <w:color w:val="000000"/>
          <w:sz w:val="24"/>
          <w:szCs w:val="24"/>
          <w:u w:color="auto" w:val="single"/>
        </w:rPr>
        <w:t>Информационная деятельность учреждений культуры</w:t>
      </w:r>
    </w:p>
    <w:p>
      <w:pPr>
        <w:ind w:firstLine="708"/>
        <w:spacing/>
        <w:jc w:val="both"/>
        <w:rPr>
          <w:color w:val="000000"/>
          <w:sz w:val="24"/>
          <w:szCs w:val="24"/>
        </w:rPr>
      </w:pPr>
      <w:r>
        <w:rPr>
          <w:bCs/>
          <w:color w:val="000000"/>
          <w:sz w:val="24"/>
          <w:szCs w:val="24"/>
        </w:rPr>
        <w:t>Учреждения культуры продолжают работу в направлении информатизации и развития электронных услуг.</w:t>
      </w:r>
      <w:r>
        <w:rPr>
          <w:color w:val="000000"/>
          <w:sz w:val="24"/>
          <w:szCs w:val="24"/>
        </w:rPr>
        <w:t xml:space="preserve"> Функционируют официальные сайты всех учреждений культуры, которые обеспечивают свободный доступ пользователей к информации, услугам, предоставляемым населению, содержит информацию о коллективах и проводимых мероприятиях. Деятельность учреждений культуры городского округа освещается в городских средствах массовой информации, областных СМИ, на официальном сайте Анжеро-Судженска, областном сайте «Культура Кузбасса», федеральном сайте министерства культуры, платформе «Кузбасс Онлайн», сайтах учреждений культуры. Управлением культуры ежемесячно проводится мониторинг средств массовой информации на предмет наличия материалов культурной тематики. Еженедельно на страницах газеты «Наш город» публикуют афишу предстоящих на следующей неделе культурных мероприятий в городском округе. </w:t>
      </w:r>
    </w:p>
    <w:p>
      <w:pPr>
        <w:ind w:firstLine="708"/>
        <w:spacing/>
        <w:jc w:val="both"/>
        <w:rPr>
          <w:color w:val="000000"/>
          <w:sz w:val="24"/>
          <w:szCs w:val="24"/>
          <w:shd w:val="clear" w:fill="ffffff"/>
        </w:rPr>
      </w:pPr>
      <w:r>
        <w:rPr>
          <w:color w:val="000000"/>
          <w:sz w:val="24"/>
          <w:szCs w:val="24"/>
        </w:rPr>
        <w:t xml:space="preserve">В эфире Анжерского телевидения за 9 месяцев 2025 года  вышло </w:t>
      </w:r>
      <w:r>
        <w:rPr>
          <w:color w:val="000000"/>
          <w:sz w:val="24"/>
          <w:szCs w:val="24"/>
          <w:shd w:val="clear" w:fill="ffffff"/>
        </w:rPr>
        <w:t xml:space="preserve">170 </w:t>
      </w:r>
      <w:r>
        <w:rPr>
          <w:color w:val="000000"/>
          <w:sz w:val="24"/>
          <w:szCs w:val="24"/>
        </w:rPr>
        <w:t xml:space="preserve">сюжета, в печных изданиях – 196 публикаций, </w:t>
      </w:r>
      <w:r>
        <w:rPr>
          <w:color w:val="000000"/>
          <w:sz w:val="24"/>
          <w:szCs w:val="24"/>
          <w:shd w:val="clear" w:fill="ffffff"/>
        </w:rPr>
        <w:t>на сайтах учреждений – 855, в социальных сетях (Вк,</w:t>
      </w:r>
      <w:r>
        <w:rPr>
          <w:color w:val="000000"/>
          <w:sz w:val="24"/>
          <w:szCs w:val="24"/>
        </w:rPr>
        <w:t xml:space="preserve"> </w:t>
      </w:r>
      <w:r>
        <w:rPr>
          <w:color w:val="000000"/>
          <w:sz w:val="24"/>
          <w:szCs w:val="24"/>
          <w:shd w:val="clear" w:fill="ffffff"/>
        </w:rPr>
        <w:t>ОК и другие) – 8021.</w:t>
      </w:r>
      <w:r>
        <w:rPr>
          <w:color w:val="000000"/>
          <w:sz w:val="24"/>
          <w:szCs w:val="24"/>
          <w:shd w:val="clear" w:fill="ffffff"/>
        </w:rPr>
      </w:r>
    </w:p>
    <w:p>
      <w:pPr>
        <w:ind w:firstLine="708"/>
        <w:spacing/>
        <w:jc w:val="center"/>
        <w:rPr>
          <w:b/>
          <w:bCs/>
          <w:color w:val="000000"/>
          <w:sz w:val="24"/>
          <w:szCs w:val="24"/>
          <w:u w:color="auto" w:val="single"/>
        </w:rPr>
      </w:pPr>
      <w:r>
        <w:rPr>
          <w:b/>
          <w:bCs/>
          <w:color w:val="000000"/>
          <w:sz w:val="24"/>
          <w:szCs w:val="24"/>
          <w:u w:color="auto" w:val="single"/>
        </w:rPr>
        <w:t>Реализация национального проекта «Культура»</w:t>
      </w:r>
    </w:p>
    <w:p>
      <w:pPr>
        <w:ind w:firstLine="567"/>
        <w:spacing/>
        <w:jc w:val="both"/>
        <w:rPr>
          <w:rFonts w:eastAsia="Calibri"/>
          <w:color w:val="000000"/>
          <w:sz w:val="24"/>
          <w:szCs w:val="24"/>
          <w:shd w:val="clear" w:fill="ffffff"/>
        </w:rPr>
      </w:pPr>
      <w:r>
        <w:rPr>
          <w:rStyle w:val="char81"/>
          <w:rFonts w:eastAsia="Calibri"/>
          <w:color w:val="000000"/>
          <w:sz w:val="24"/>
          <w:szCs w:val="24"/>
        </w:rPr>
        <w:t>В рамках реализации «Пушкинская карта»</w:t>
      </w:r>
      <w:r>
        <w:rPr>
          <w:rFonts w:eastAsia="Calibri"/>
          <w:bCs/>
          <w:color w:val="000000"/>
          <w:sz w:val="24"/>
          <w:szCs w:val="24"/>
        </w:rPr>
        <w:t xml:space="preserve"> 11 учреждений культуры</w:t>
      </w:r>
      <w:r>
        <w:rPr>
          <w:rStyle w:val="char81"/>
          <w:rFonts w:eastAsia="Calibri"/>
          <w:color w:val="000000"/>
          <w:sz w:val="24"/>
          <w:szCs w:val="24"/>
        </w:rPr>
        <w:t xml:space="preserve"> </w:t>
      </w:r>
      <w:r>
        <w:rPr>
          <w:rFonts w:eastAsia="Calibri"/>
          <w:bCs/>
          <w:color w:val="000000"/>
          <w:sz w:val="24"/>
          <w:szCs w:val="24"/>
        </w:rPr>
        <w:t xml:space="preserve">          за 9 месяцев по Пушкинской карте проведено 395 мероприятий, продано 10363 билетов на сумму 3249,64 тыс. рублей.</w:t>
      </w:r>
      <w:r>
        <w:rPr>
          <w:rStyle w:val="char81"/>
          <w:rFonts w:eastAsia="Calibri"/>
          <w:color w:val="000000"/>
          <w:sz w:val="24"/>
          <w:szCs w:val="24"/>
        </w:rPr>
        <w:t xml:space="preserve">  </w:t>
      </w:r>
      <w:r>
        <w:rPr>
          <w:rFonts w:eastAsia="Calibri"/>
          <w:color w:val="000000"/>
          <w:sz w:val="24"/>
          <w:szCs w:val="24"/>
          <w:shd w:val="clear" w:fill="ffffff"/>
        </w:rPr>
      </w:r>
    </w:p>
    <w:p>
      <w:pPr>
        <w:ind w:firstLine="567"/>
        <w:spacing/>
        <w:jc w:val="both"/>
        <w:rPr>
          <w:color w:val="000000"/>
          <w:sz w:val="24"/>
          <w:szCs w:val="24"/>
        </w:rPr>
      </w:pPr>
      <w:r>
        <w:rPr>
          <w:color w:val="000000"/>
          <w:sz w:val="24"/>
          <w:szCs w:val="24"/>
        </w:rPr>
        <w:t>В рамках федерального проекта «Цифровая культура»,</w:t>
      </w:r>
      <w:r>
        <w:rPr>
          <w:b/>
          <w:i/>
          <w:color w:val="000000"/>
          <w:sz w:val="24"/>
          <w:szCs w:val="24"/>
        </w:rPr>
        <w:t xml:space="preserve"> </w:t>
      </w:r>
      <w:r>
        <w:rPr>
          <w:color w:val="000000"/>
          <w:sz w:val="24"/>
          <w:szCs w:val="24"/>
        </w:rPr>
        <w:t xml:space="preserve">входящего в структуру национального проекта «Культура» в МБУК «ДК «Центральный» продолжает работу виртуальный концертный зал. Ежемесячно, согласно плану работы виртуального концертного зала, проходит две трансляции из Московской Филармонии (для детской и взрослой аудитории). Кроме того, наличие в учреждении виртуального концертного зала позволяет проводить мероприятия с использованием светодиодного экрана. </w:t>
        <w:tab/>
        <w:t xml:space="preserve"> За 9 месяцев проведено 24 мероприятий, которые посетило 4015 человек.</w:t>
      </w:r>
    </w:p>
    <w:p>
      <w:pPr>
        <w:ind w:firstLine="708"/>
        <w:spacing/>
        <w:jc w:val="both"/>
        <w:rPr>
          <w:color w:val="000000"/>
          <w:sz w:val="24"/>
          <w:szCs w:val="24"/>
        </w:rPr>
      </w:pPr>
      <w:r>
        <w:rPr>
          <w:color w:val="000000"/>
          <w:sz w:val="24"/>
          <w:szCs w:val="24"/>
        </w:rPr>
        <w:t xml:space="preserve">В рамках проекта «Сибирские обереги. Уроки дружбы», созданного МБУК «ДК «Центральный», проводятся мероприятия национальной направленности, фолк-уроки и мастер-классы по изготовления народных оберегов. </w:t>
      </w:r>
    </w:p>
    <w:p>
      <w:pPr>
        <w:spacing/>
        <w:jc w:val="both"/>
        <w:rPr>
          <w:color w:val="000000"/>
          <w:sz w:val="28"/>
          <w:szCs w:val="28"/>
        </w:rPr>
      </w:pPr>
      <w:r>
        <w:rPr>
          <w:color w:val="000000"/>
          <w:sz w:val="28"/>
          <w:szCs w:val="28"/>
        </w:rPr>
      </w:r>
    </w:p>
    <w:p>
      <w:pPr>
        <w:spacing/>
        <w:jc w:val="both"/>
        <w:rPr>
          <w:color w:val="000000"/>
          <w:sz w:val="28"/>
          <w:szCs w:val="28"/>
        </w:rPr>
      </w:pPr>
      <w:r>
        <w:rPr>
          <w:color w:val="000000"/>
          <w:sz w:val="28"/>
          <w:szCs w:val="28"/>
        </w:rPr>
      </w:r>
    </w:p>
    <w:p>
      <w:pPr>
        <w:ind w:firstLine="720"/>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lang w:eastAsia="ru-ru" w:bidi="ru-ru"/>
        </w:rPr>
      </w:pPr>
      <w:r>
        <w:rPr>
          <w:b/>
          <w:bCs/>
          <w:color w:val="000000"/>
          <w:sz w:val="24"/>
          <w:szCs w:val="24"/>
          <w:lang w:eastAsia="ru-ru" w:bidi="ru-ru"/>
        </w:rPr>
        <w:t>17. СОСТОЯНИЕ ПРАВОПОРЯДКА И БЕЗОПАСНОСТЬ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567"/>
        <w:spacing/>
        <w:contextualSpacing/>
        <w:jc w:val="both"/>
        <w:rPr>
          <w:color w:val="000000"/>
          <w:sz w:val="24"/>
          <w:szCs w:val="24"/>
        </w:rPr>
      </w:pPr>
      <w:r>
        <w:rPr>
          <w:color w:val="000000"/>
          <w:sz w:val="24"/>
          <w:szCs w:val="24"/>
        </w:rPr>
        <w:t xml:space="preserve">По итогам отчётного периода на территории обслуживания Отдела  зарегистрировано 549 преступлений (-24,6%).  Уровень преступности (в расчёте на 100 тыс.чел) не превышает ср.областное значение — 792 у/п против 993. </w:t>
      </w:r>
    </w:p>
    <w:p>
      <w:pPr>
        <w:ind w:firstLine="567"/>
        <w:spacing/>
        <w:contextualSpacing/>
        <w:jc w:val="both"/>
        <w:rPr>
          <w:color w:val="000000"/>
          <w:sz w:val="24"/>
          <w:szCs w:val="24"/>
        </w:rPr>
      </w:pPr>
      <w:r>
        <w:rPr>
          <w:color w:val="000000"/>
          <w:sz w:val="24"/>
          <w:szCs w:val="24"/>
        </w:rPr>
        <w:t>На 21,5% меньше поставлено на учёт преступлений против личности, в том числе умышленных убийств (-50%, с 4 до 2), фактов причинения тяжкого вреда здоровью (-37,5%, с 16 до 10), из них со смертельным исходом (-40%, с 5 до 3).</w:t>
      </w:r>
    </w:p>
    <w:p>
      <w:pPr>
        <w:ind w:firstLine="567"/>
        <w:spacing/>
        <w:contextualSpacing/>
        <w:jc w:val="both"/>
        <w:rPr>
          <w:color w:val="000000"/>
          <w:sz w:val="24"/>
          <w:szCs w:val="24"/>
        </w:rPr>
      </w:pPr>
      <w:r>
        <w:rPr>
          <w:color w:val="000000"/>
          <w:sz w:val="24"/>
          <w:szCs w:val="24"/>
        </w:rPr>
        <w:t>Количество имущественных составов сократилось (-24,4%, с 394 до 298).  Меньше совершено краж транспорта (-75%, с 4 до 1), дистанционных краж (-56,8%, с 44 до 19), мошенничеств (-8,3%), грабежей (-20%), не допущено разбойных нападений.</w:t>
      </w:r>
    </w:p>
    <w:p>
      <w:pPr>
        <w:ind w:firstLine="567"/>
        <w:spacing/>
        <w:contextualSpacing/>
        <w:jc w:val="both"/>
        <w:rPr>
          <w:color w:val="000000"/>
          <w:sz w:val="24"/>
          <w:szCs w:val="24"/>
        </w:rPr>
      </w:pPr>
      <w:r>
        <w:rPr>
          <w:color w:val="000000"/>
          <w:sz w:val="24"/>
          <w:szCs w:val="24"/>
        </w:rPr>
        <w:t xml:space="preserve">Сохраняется динамика снижения по количеству зарегистрированных  хищений из мест торговли (-42,5%). </w:t>
      </w:r>
    </w:p>
    <w:p>
      <w:pPr>
        <w:ind w:firstLine="567"/>
        <w:spacing/>
        <w:contextualSpacing/>
        <w:jc w:val="both"/>
        <w:rPr>
          <w:color w:val="000000"/>
          <w:sz w:val="24"/>
          <w:szCs w:val="24"/>
        </w:rPr>
      </w:pPr>
      <w:r>
        <w:rPr>
          <w:color w:val="000000"/>
          <w:sz w:val="24"/>
          <w:szCs w:val="24"/>
        </w:rPr>
        <w:t>Продуктивная профилактическая работа в борьбе с киберпреступлениями принесла определённые положительные результаты.  Снижены темпы прироста имущественных преступлений, совершаемых с использованием ИТТ (кражи на 56,8%, мошенничества на 9,6%). Материальный ущерб, нанесённый ИТТ-посягательствами, сократился на 80%.</w:t>
      </w:r>
    </w:p>
    <w:p>
      <w:pPr>
        <w:ind w:firstLine="567"/>
        <w:spacing/>
        <w:contextualSpacing/>
        <w:jc w:val="both"/>
        <w:rPr>
          <w:color w:val="000000"/>
          <w:sz w:val="24"/>
          <w:szCs w:val="24"/>
        </w:rPr>
      </w:pPr>
      <w:r>
        <w:rPr>
          <w:color w:val="000000"/>
          <w:sz w:val="24"/>
          <w:szCs w:val="24"/>
        </w:rPr>
        <w:t xml:space="preserve">В тоже время активизирована работа по выявлению преступлений, связанных с уклонением от административного надзора (ст.314.1 УК РФ) — с 5 до 14. Выявлено 579 фактов нарушения судебных ограничений в сфере административного надзора.    </w:t>
      </w:r>
    </w:p>
    <w:p>
      <w:pPr>
        <w:ind w:firstLine="567"/>
        <w:spacing/>
        <w:contextualSpacing/>
        <w:jc w:val="both"/>
        <w:rPr>
          <w:color w:val="000000"/>
          <w:sz w:val="24"/>
          <w:szCs w:val="24"/>
        </w:rPr>
      </w:pPr>
      <w:r>
        <w:rPr>
          <w:color w:val="000000"/>
          <w:sz w:val="24"/>
          <w:szCs w:val="24"/>
        </w:rPr>
        <w:t xml:space="preserve"> Число выявленных наркопреступлений увеличилось на 6,6% (с 76 до 81).   </w:t>
      </w:r>
    </w:p>
    <w:p>
      <w:pPr>
        <w:ind w:firstLine="567"/>
        <w:spacing/>
        <w:contextualSpacing/>
        <w:jc w:val="both"/>
        <w:rPr>
          <w:color w:val="000000"/>
          <w:sz w:val="24"/>
          <w:szCs w:val="24"/>
        </w:rPr>
      </w:pPr>
      <w:r>
        <w:rPr>
          <w:color w:val="000000"/>
          <w:sz w:val="24"/>
          <w:szCs w:val="24"/>
        </w:rPr>
        <w:t>В отчётном периоде возросла эффективность раскрытия преступлений на 3,1% и составила 62,2%.</w:t>
      </w:r>
    </w:p>
    <w:p>
      <w:pPr>
        <w:ind w:firstLine="567"/>
        <w:spacing/>
        <w:contextualSpacing/>
        <w:jc w:val="both"/>
        <w:rPr>
          <w:color w:val="000000"/>
          <w:sz w:val="24"/>
          <w:szCs w:val="24"/>
        </w:rPr>
      </w:pPr>
      <w:r>
        <w:rPr>
          <w:color w:val="000000"/>
          <w:sz w:val="24"/>
          <w:szCs w:val="24"/>
        </w:rPr>
        <w:t>С положительной динамикой сработали по преступлениям тяжкой категории (+2,4%, 64,3%), квартирным кражам (+4%), кражам из автомобилей (+50%), дистанционным кражам (+33,7%).</w:t>
      </w:r>
    </w:p>
    <w:p>
      <w:pPr>
        <w:ind w:firstLine="567"/>
        <w:spacing/>
        <w:contextualSpacing/>
        <w:jc w:val="both"/>
        <w:rPr>
          <w:color w:val="000000"/>
          <w:sz w:val="24"/>
          <w:szCs w:val="24"/>
        </w:rPr>
      </w:pPr>
      <w:r>
        <w:rPr>
          <w:color w:val="000000"/>
          <w:sz w:val="24"/>
          <w:szCs w:val="24"/>
        </w:rPr>
        <w:t>Обеспечено 100% раскрытие тяжких и особо тяжких преступлений против личности, грабежей, разбойных нападений, угонов, преступлений с применением огнестрельного оружия.</w:t>
      </w:r>
    </w:p>
    <w:p>
      <w:pPr>
        <w:ind w:firstLine="567"/>
        <w:spacing/>
        <w:contextualSpacing/>
        <w:jc w:val="both"/>
        <w:rPr>
          <w:i/>
          <w:iCs/>
          <w:color w:val="000000"/>
          <w:sz w:val="24"/>
          <w:szCs w:val="24"/>
        </w:rPr>
      </w:pPr>
      <w:r>
        <w:rPr>
          <w:color w:val="000000"/>
          <w:sz w:val="24"/>
          <w:szCs w:val="24"/>
        </w:rPr>
        <w:t>Выявлено 271 лицо за совершение преступлений в отношении 226 дела направлены в суд.</w:t>
      </w:r>
      <w:r>
        <w:rPr>
          <w:i/>
          <w:iCs/>
          <w:color w:val="000000"/>
          <w:sz w:val="24"/>
          <w:szCs w:val="24"/>
        </w:rPr>
      </w:r>
    </w:p>
    <w:p>
      <w:pPr>
        <w:ind w:firstLine="567"/>
        <w:spacing/>
        <w:contextualSpacing/>
        <w:jc w:val="both"/>
        <w:rPr>
          <w:i/>
          <w:iCs/>
          <w:color w:val="000000"/>
          <w:sz w:val="24"/>
          <w:szCs w:val="24"/>
        </w:rPr>
      </w:pPr>
      <w:r>
        <w:rPr>
          <w:color w:val="000000"/>
          <w:sz w:val="24"/>
          <w:szCs w:val="24"/>
        </w:rPr>
        <w:t>В результате реализации мер профилактического характера не допущено роста преступлений в общественных местах (-33,5%), в состоянии алкогольного опьянения (-28,7%), среди несовершеннолетних (-20%), преступлений в быту (-50%), в т.ч. тяжкой категории.</w:t>
      </w:r>
      <w:r>
        <w:rPr>
          <w:i/>
          <w:iCs/>
          <w:color w:val="000000"/>
          <w:sz w:val="24"/>
          <w:szCs w:val="24"/>
        </w:rPr>
      </w:r>
    </w:p>
    <w:p>
      <w:pPr>
        <w:ind w:firstLine="567"/>
        <w:spacing/>
        <w:contextualSpacing/>
        <w:jc w:val="both"/>
        <w:rPr>
          <w:i/>
          <w:iCs/>
          <w:color w:val="000000"/>
          <w:sz w:val="24"/>
          <w:szCs w:val="24"/>
        </w:rPr>
      </w:pPr>
      <w:r>
        <w:rPr>
          <w:color w:val="000000"/>
          <w:sz w:val="24"/>
          <w:szCs w:val="24"/>
        </w:rPr>
        <w:t xml:space="preserve">В результате реализации функций административного законодательства выявлено 2068 административных правонарушений, в т.ч. 30 в порядке ст.30 ЗКО, в сфере незаконного оборота алкогольной и спиртосодержащей продукции — 18. </w:t>
      </w:r>
      <w:r>
        <w:rPr>
          <w:i/>
          <w:iCs/>
          <w:color w:val="000000"/>
          <w:sz w:val="24"/>
          <w:szCs w:val="24"/>
        </w:rPr>
      </w:r>
    </w:p>
    <w:p>
      <w:pPr>
        <w:ind w:firstLine="567"/>
        <w:spacing/>
        <w:contextualSpacing/>
        <w:jc w:val="both"/>
        <w:rPr>
          <w:i/>
          <w:iCs/>
          <w:color w:val="000000"/>
          <w:sz w:val="24"/>
          <w:szCs w:val="24"/>
        </w:rPr>
      </w:pPr>
      <w:r>
        <w:rPr>
          <w:color w:val="000000"/>
          <w:spacing w:val="-3" w:percent="97"/>
          <w:sz w:val="24"/>
          <w:szCs w:val="24"/>
          <w:lang w:eastAsia="ru-ru" w:bidi="ru-ru"/>
        </w:rPr>
        <w:t>В области дорожного движения выявлено 5409 нарушений. Зарегистрировано 178 фактов управления транспортов в нетрезвом состоянии.</w:t>
      </w:r>
      <w:r>
        <w:rPr>
          <w:i/>
          <w:iCs/>
          <w:color w:val="000000"/>
          <w:sz w:val="24"/>
          <w:szCs w:val="24"/>
        </w:rPr>
      </w:r>
    </w:p>
    <w:p>
      <w:pPr>
        <w:pStyle w:val="para85"/>
        <w:ind w:firstLine="794"/>
        <w:spacing/>
        <w:contextualSpacing/>
        <w:jc w:val="both"/>
        <w:keepNext/>
        <w:rPr>
          <w:rFonts w:eastAsia="Times New Roman"/>
          <w:color w:val="000000"/>
          <w:sz w:val="24"/>
        </w:rPr>
      </w:pPr>
      <w:r>
        <w:rPr>
          <w:rFonts w:eastAsia="Times New Roman"/>
          <w:color w:val="000000"/>
          <w:sz w:val="24"/>
        </w:rPr>
      </w:r>
    </w:p>
    <w:p>
      <w:pPr>
        <w:pStyle w:val="para85"/>
        <w:ind w:firstLine="794"/>
        <w:spacing/>
        <w:contextualSpacing/>
        <w:jc w:val="both"/>
        <w:keepNext/>
        <w:rPr>
          <w:rFonts w:eastAsia="Times New Roman"/>
          <w:color w:val="000000"/>
          <w:sz w:val="24"/>
        </w:rPr>
      </w:pPr>
      <w:r>
        <w:rPr>
          <w:rFonts w:eastAsia="Times New Roman"/>
          <w:color w:val="000000"/>
          <w:sz w:val="24"/>
        </w:rPr>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МКУ «Управление по делам ГО и ЧС» осуществляет свою деятельность в соответствии с Планом основных мероприятий АСГО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За 9 месяцев 2025 года организовано и проведено:</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-6 заседаний антитеррористической комиссии, рассмотрено 28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-3 заседание комиссии по профилактике правонарушений, рассмотрено 18 вопросов;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-2 заседания эвакуационной комиссии, рассмотрено 5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-18 заседаний комиссии по чрезвычайным ситуациям и пожарной безопасности, принято 38 вопросов, в том числе 14 внеплановых;</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121 проверка антитеррористической защищенности объектов и территории, из них 66 обследований объектов,  находящихся в муниципальной собственности, в том числе 5 религиозных объектов;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-откорректированы планы: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-приведения в готовность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-гражданкой обороны и защиты населения,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-Действий сил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актуализация: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-планов действий по предупреждению и ликвидации ЧС, организации первоочередного жизнеобеспечения населения в чрезвычайных ситуациях;</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-паспорт безопасности Анжеро-Судженского городского округа, паспорт муниципальной системы оповещения;</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-подготовлено 29 проектов постановлений и распоряжений администрации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-разработан, согласован в соответствии с установленным порядком и утверждён главой городского округа План основных мероприятий в области гражданской обороны, предупреждения и ликвидации ЧС, обеспечение пожарной безопасности и безопасности людей на водных объектах на 2025г.</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Оказана методическая помощь в подготовке и проведении учений, тренировок на 24 объектах; в разработке, согласовании Плана основных мероприятий по 75 объектам различной формы собственности; проведена проверка готовности МСО населения АСГО с включением оконечных устройств (сирен); установлено 13 предупреждающих знаков «Переход/переезд по лбду запрещён»;  установлено 19 предупреждающих знаков «купаться запрещено», ежедневно осуществлялось патрулирование территории городского округа; организованы и проведены с привлечением сил и средств городского звена ТП РСЧС 1 штабная тренировка, 1 тактико-специальное учение; проведено 40 выездных обследований с составлением актов осмотра жилого помещения, по результатам которых установлено 20 датчиков угарного газа и 107 автономных дымовых пожарных извещателей.</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Проводилась профилактическая работа различной направленности: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-изготовлено и распространено более 4400 шт. информационных материалов (брошюры, буклеты, листовки, памятки);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-проведено более 2200 бесед с населением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-размещено в СМИ, на страницах социальных сетей 350 материалов.</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Выполнились мероприятия по реконструкции местной системы оповещения (установка столбов, организация подключения к электросети).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Осуществлялся контроль за организацией подготовки населения в области ГО и ЧС. В соответствии с Планом комплектования Кузбасского объединённого учебно-методического центра по ГО и ЧС, пожарной безопасности на 2025 год, прошли подготовку 48 человека КОУМЦ по ГО и ЧС в г. Кемерово.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За 9 месяцев 2025 года в ЕДДС, в том числе по системе 112 поступило более 11 000  информационных сообщений об: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-угрозе возникновения ЧС природного и техногенного характера,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-резкого ухудшения погодных условий, связанных с гололедными явлениями, повышением (понижением) температуры окружающего воздуха, ливнями, грозовым фронтом,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-ухудшении пожароопасной обстановки,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-содержании дорог,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-обнаружении подозрительных предметов,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аварийных отключениях электроэнергии, горячего и холодного водоснабжения, в том числе обращения граждан с консультациями различного характера </w:t>
      </w:r>
      <w:r>
        <w:rPr>
          <w:i/>
          <w:color w:val="000000"/>
          <w:sz w:val="24"/>
          <w:szCs w:val="24"/>
        </w:rPr>
        <w:t>(разлив ртути, укус клеща, первая помощь при отравлении угарным газом, ожогах, возникновении задымления и т.д.)</w:t>
      </w:r>
      <w:r>
        <w:rPr>
          <w:color w:val="000000"/>
          <w:sz w:val="24"/>
          <w:szCs w:val="24"/>
        </w:rPr>
        <w:t>.</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ЕДДС отработаны 9 тренировок по вводным ЦУКС ГУ МЧС России по Кемеровской области - Кузбассу по предупреждению и ликвидации чрезвычайных ситуаций.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Ежемесячно проводилась работа по корректировке электронных паспортов территорий, входящих в состав Анжеро-Судженского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Проведена работа по актуализации соглашения об осуществлении информационного обмена при решении задач предупреждения и ликвидации чрезвычайных ситуаций, в том числе с операторами связи.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Начальник управления экономического</w:t>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развития, промышленности и предпринимательства                                        И.В. Чемякин</w:t>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i/>
          <w:color w:val="000000"/>
          <w:sz w:val="24"/>
          <w:szCs w:val="24"/>
        </w:rPr>
      </w:pPr>
      <w:r>
        <w:rPr>
          <w:b/>
          <w:color w:val="000000"/>
          <w:sz w:val="24"/>
          <w:szCs w:val="24"/>
        </w:rPr>
        <w:t>___________________________________________________________________________________</w:t>
      </w:r>
      <w:r>
        <w:rPr>
          <w:i/>
          <w:color w:val="000000"/>
          <w:sz w:val="24"/>
          <w:szCs w:val="24"/>
        </w:rPr>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rPr>
      </w:pPr>
      <w:r>
        <w:rPr>
          <w:i/>
          <w:color w:val="000000"/>
          <w:sz w:val="24"/>
          <w:szCs w:val="24"/>
        </w:rPr>
        <w:t>Отчёт подготовлен по данным Территориального органа Федеральной службы государственной статистики по Кемеровской области, структурных подразделений администрации Анжеро-Судженского городского округа, территориальных подразделений федеральных органов исполнительной власти Кемеровской области.</w:t>
      </w:r>
      <w:r>
        <w:rPr>
          <w:b/>
          <w:color w:val="000000"/>
          <w:sz w:val="24"/>
          <w:szCs w:val="24"/>
        </w:rPr>
        <w:t xml:space="preserve"> </w:t>
      </w: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709" w:right="709" w:bottom="1162" w:header="0"/>
      <w:paperSrc w:first="0" w:other="0" a="0" b="0"/>
      <w:pgNumType w:fmt="decimal"/>
      <w:tmGutter w:val="3"/>
      <w:mirrorMargins w:val="0"/>
      <w:tmSection w:h="-2">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PT Astra Serif">
    <w:charset w:val="00"/>
    <w:family w:val="roman"/>
    <w:pitch w:val="default"/>
  </w:font>
  <w:font w:name="Tahoma">
    <w:charset w:val="00"/>
    <w:family w:val="swiss"/>
    <w:pitch w:val="default"/>
  </w:font>
  <w:font w:name="Noto Sans Devanagari">
    <w:charset w:val="00"/>
    <w:family w:val="roman"/>
    <w:pitch w:val="default"/>
  </w:font>
  <w:font w:name="a_CityNovaLt">
    <w:charset w:val="00"/>
    <w:family w:val="roman"/>
    <w:pitch w:val="default"/>
  </w:font>
  <w:font w:name="Calibri">
    <w:charset w:val="00"/>
    <w:family w:val="swiss"/>
    <w:pitch w:val="default"/>
  </w:font>
  <w:font w:name="Courier New">
    <w:charset w:val="00"/>
    <w:family w:val="modern"/>
    <w:pitch w:val="default"/>
  </w:font>
  <w:font w:name="Symbol">
    <w:charset w:val="02"/>
    <w:family w:val="roman"/>
    <w:pitch w:val="default"/>
  </w:font>
  <w:font w:name="Wingdings">
    <w:charset w:val="02"/>
    <w:family w:val="auto"/>
    <w:pitch w:val="default"/>
  </w:font>
  <w:font w:name="Source Han Sans CN Regular">
    <w:charset w:val="00"/>
    <w:family w:val="auto"/>
    <w:pitch w:val="default"/>
  </w:font>
  <w:font w:name="Lohit Devanagari">
    <w:charset w:val="00"/>
    <w:family w:val="auto"/>
    <w:pitch w:val="default"/>
  </w:font>
  <w:font w:name="Courier-P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1" behindDoc="0" locked="0" layoutInCell="0" hidden="0" allowOverlap="1">
              <wp:simplePos x="0" y="0"/>
              <wp:positionH relativeFrom="page">
                <wp:posOffset>7110730</wp:posOffset>
              </wp:positionH>
              <wp:positionV relativeFrom="paragraph">
                <wp:posOffset>635</wp:posOffset>
              </wp:positionV>
              <wp:extent cx="58420" cy="140970"/>
              <wp:effectExtent l="0" t="0" r="0" b="0"/>
              <wp:wrapSquare wrapText="largest"/>
              <wp:docPr id="1" name="Текстовое поле1"/>
              <wp:cNvGraphicFramePr/>
              <a:graphic xmlns:a="http://schemas.openxmlformats.org/drawingml/2006/main">
                <a:graphicData uri="http://schemas.microsoft.com/office/word/2010/wordprocessingShape">
                  <wps:wsp>
                    <wps:cNvSpPr>
                      <a:extLst>
                        <a:ext uri="sm">
                          <sm:smNativeData xmlns:sm="sm" val="SMDATA_14_tHSBaR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a:ext>
                      </a:extLst>
                    </wps:cNvSpPr>
                    <wps:spPr>
                      <a:xfrm>
                        <a:off x="0" y="0"/>
                        <a:ext cx="58420" cy="14097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1" o:spid="_x0000_s3073" style="position:absolute;margin-left:559.90pt;margin-top:0.05pt;mso-position-horizontal-relative:page;width:4.60pt;height:11.10pt;z-index:251658241;mso-wrap-distance-left:0.00pt;mso-wrap-distance-top:0.00pt;mso-wrap-distance-right:0.00pt;mso-wrap-distance-bottom:0.00pt;mso-wrap-style:square" stroked="f" fillcolor="#ffffff" v:ext="SMDATA_14_tHSBaR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w:t>
                      <w:fldChar w:fldCharType="end"/>
                    </w:r>
                    <w:r/>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2" behindDoc="0" locked="0" layoutInCell="0" hidden="0" allowOverlap="1">
              <wp:simplePos x="0" y="0"/>
              <wp:positionH relativeFrom="page">
                <wp:posOffset>9972040</wp:posOffset>
              </wp:positionH>
              <wp:positionV relativeFrom="paragraph">
                <wp:posOffset>635</wp:posOffset>
              </wp:positionV>
              <wp:extent cx="271780" cy="129540"/>
              <wp:effectExtent l="0" t="0" r="0" b="0"/>
              <wp:wrapSquare wrapText="largest"/>
              <wp:docPr id="2" name="Текстовое поле2"/>
              <wp:cNvGraphicFramePr/>
              <a:graphic xmlns:a="http://schemas.openxmlformats.org/drawingml/2006/main">
                <a:graphicData uri="http://schemas.microsoft.com/office/word/2010/wordprocessingShape">
                  <wps:wsp>
                    <wps:cNvSpPr>
                      <a:extLst>
                        <a:ext uri="sm">
                          <sm:smNativeData xmlns:sm="sm" val="SMDATA_14_tHSBaR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Fg9AAAAAAAAAgAAAAEAAACsAQAAzAAAAAAAAQBYPQAAzioAACgAAAAIAAAAAQAAAAEAAAA="/>
                        </a:ext>
                      </a:extLst>
                    </wps:cNvSpPr>
                    <wps:spPr>
                      <a:xfrm>
                        <a:off x="0" y="0"/>
                        <a:ext cx="271780" cy="12954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2" o:spid="_x0000_s5121" style="position:absolute;margin-left:785.20pt;margin-top:0.05pt;mso-position-horizontal-relative:page;width:21.40pt;height:10.20pt;z-index:251658242;mso-wrap-distance-left:0.00pt;mso-wrap-distance-top:0.00pt;mso-wrap-distance-right:0.00pt;mso-wrap-distance-bottom:0.00pt;mso-wrap-style:square" stroked="f" fillcolor="#ffffff" v:ext="SMDATA_14_tHSBaR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Fg9AAAAAAAAAgAAAAEAAACsAQAAzAAAAAAAAQBYPQAAzio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11</w:t>
                      <w:fldChar w:fldCharType="end"/>
                    </w:r>
                    <w:r/>
                  </w:p>
                </w:txbxContent>
              </v:textbox>
            </v:rect>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3" behindDoc="0" locked="0" layoutInCell="0" hidden="0" allowOverlap="1">
              <wp:simplePos x="0" y="0"/>
              <wp:positionH relativeFrom="page">
                <wp:posOffset>7110095</wp:posOffset>
              </wp:positionH>
              <wp:positionV relativeFrom="paragraph">
                <wp:posOffset>635</wp:posOffset>
              </wp:positionV>
              <wp:extent cx="250190" cy="132715"/>
              <wp:effectExtent l="0" t="0" r="0" b="0"/>
              <wp:wrapSquare wrapText="largest"/>
              <wp:docPr id="3" name="Текстовое поле3"/>
              <wp:cNvGraphicFramePr/>
              <a:graphic xmlns:a="http://schemas.openxmlformats.org/drawingml/2006/main">
                <a:graphicData uri="http://schemas.microsoft.com/office/word/2010/wordprocessingShape">
                  <wps:wsp>
                    <wps:cNvSpPr>
                      <a:extLst>
                        <a:ext uri="sm">
                          <sm:smNativeData xmlns:sm="sm" val="SMDATA_14_tHSBaR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L0rAAAAAAAAAgAAAAEAAACKAQAA0QAAAAAAAgC9KwAAEj4AACgAAAAIAAAAAQAAAAEAAAA="/>
                        </a:ext>
                      </a:extLst>
                    </wps:cNvSpPr>
                    <wps:spPr>
                      <a:xfrm>
                        <a:off x="0" y="0"/>
                        <a:ext cx="250190" cy="132715"/>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33</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3" o:spid="_x0000_s7169" style="position:absolute;margin-left:559.85pt;margin-top:0.05pt;mso-position-horizontal-relative:page;width:19.70pt;height:10.45pt;z-index:251658243;mso-wrap-distance-left:0.00pt;mso-wrap-distance-top:0.00pt;mso-wrap-distance-right:0.00pt;mso-wrap-distance-bottom:0.00pt;mso-wrap-style:square" stroked="f" fillcolor="#ffffff" v:ext="SMDATA_14_tHSBaR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L0rAAAAAAAAAgAAAAEAAACKAQAA0QAAAAAAAgC9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33</w:t>
                      <w:fldChar w:fldCharType="end"/>
                    </w:r>
                    <w:r/>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hybridMultilevel"/>
    <w:name w:val="Нумерованный список 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Нумерованный список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5">
    <w:multiLevelType w:val="hybridMultilevel"/>
    <w:name w:val="Нумерованный список 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
    <w:multiLevelType w:val="hybridMultilevel"/>
    <w:name w:val="Нумерованный список 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
    <w:multiLevelType w:val="hybridMultilevel"/>
    <w:name w:val="WW8Num3"/>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Нумерованный список 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
    <w:multiLevelType w:val="hybridMultilevel"/>
    <w:name w:val="Нумерованный список 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0">
    <w:multiLevelType w:val="hybridMultilevel"/>
    <w:name w:val="WW8Num2"/>
    <w:lvl w:ilvl="0">
      <w:numFmt w:val="bullet"/>
      <w:suff w:val="tab"/>
      <w:lvlText w:val="·"/>
      <w:lvlJc w:val="left"/>
      <w:pPr>
        <w:ind w:left="360" w:hanging="0"/>
      </w:pPr>
      <w:rPr>
        <w:rFonts w:ascii="Symbol" w:hAnsi="Symbol" w:eastAsia="Symbol" w:cs="Symbol"/>
        <w:b w:val="0"/>
      </w:rPr>
    </w:lvl>
    <w:lvl w:ilvl="1">
      <w:numFmt w:val="bullet"/>
      <w:suff w:val="tab"/>
      <w:lvlText w:val="◦"/>
      <w:lvlJc w:val="left"/>
      <w:pPr>
        <w:ind w:left="720" w:hanging="0"/>
      </w:pPr>
      <w:rPr>
        <w:rFonts w:ascii="OpenSymbol" w:hAnsi="OpenSymbol" w:eastAsia="OpenSymbol" w:cs="OpenSymbol"/>
      </w:rPr>
    </w:lvl>
    <w:lvl w:ilvl="2">
      <w:numFmt w:val="bullet"/>
      <w:suff w:val="tab"/>
      <w:lvlText w:val="▪"/>
      <w:lvlJc w:val="left"/>
      <w:pPr>
        <w:ind w:left="1080" w:hanging="0"/>
      </w:pPr>
      <w:rPr>
        <w:rFonts w:ascii="OpenSymbol" w:hAnsi="OpenSymbol" w:eastAsia="OpenSymbol" w:cs="OpenSymbol"/>
      </w:rPr>
    </w:lvl>
    <w:lvl w:ilvl="3">
      <w:numFmt w:val="bullet"/>
      <w:suff w:val="tab"/>
      <w:lvlText w:val="·"/>
      <w:lvlJc w:val="left"/>
      <w:pPr>
        <w:ind w:left="1440" w:hanging="0"/>
      </w:pPr>
      <w:rPr>
        <w:rFonts w:ascii="Symbol" w:hAnsi="Symbol" w:eastAsia="Symbol" w:cs="Symbol"/>
        <w:b w:val="0"/>
      </w:rPr>
    </w:lvl>
    <w:lvl w:ilvl="4">
      <w:numFmt w:val="bullet"/>
      <w:suff w:val="tab"/>
      <w:lvlText w:val="◦"/>
      <w:lvlJc w:val="left"/>
      <w:pPr>
        <w:ind w:left="1800" w:hanging="0"/>
      </w:pPr>
      <w:rPr>
        <w:rFonts w:ascii="OpenSymbol" w:hAnsi="OpenSymbol" w:eastAsia="OpenSymbol" w:cs="OpenSymbol"/>
      </w:rPr>
    </w:lvl>
    <w:lvl w:ilvl="5">
      <w:numFmt w:val="bullet"/>
      <w:suff w:val="tab"/>
      <w:lvlText w:val="▪"/>
      <w:lvlJc w:val="left"/>
      <w:pPr>
        <w:ind w:left="2160" w:hanging="0"/>
      </w:pPr>
      <w:rPr>
        <w:rFonts w:ascii="OpenSymbol" w:hAnsi="OpenSymbol" w:eastAsia="OpenSymbol" w:cs="OpenSymbol"/>
      </w:rPr>
    </w:lvl>
    <w:lvl w:ilvl="6">
      <w:numFmt w:val="bullet"/>
      <w:suff w:val="tab"/>
      <w:lvlText w:val="·"/>
      <w:lvlJc w:val="left"/>
      <w:pPr>
        <w:ind w:left="2520" w:hanging="0"/>
      </w:pPr>
      <w:rPr>
        <w:rFonts w:ascii="Symbol" w:hAnsi="Symbol" w:eastAsia="Symbol" w:cs="Symbol"/>
        <w:b w:val="0"/>
      </w:rPr>
    </w:lvl>
    <w:lvl w:ilvl="7">
      <w:numFmt w:val="bullet"/>
      <w:suff w:val="tab"/>
      <w:lvlText w:val="◦"/>
      <w:lvlJc w:val="left"/>
      <w:pPr>
        <w:ind w:left="2880" w:hanging="0"/>
      </w:pPr>
      <w:rPr>
        <w:rFonts w:ascii="OpenSymbol" w:hAnsi="OpenSymbol" w:eastAsia="OpenSymbol" w:cs="OpenSymbol"/>
      </w:rPr>
    </w:lvl>
    <w:lvl w:ilvl="8">
      <w:numFmt w:val="bullet"/>
      <w:suff w:val="tab"/>
      <w:lvlText w:val="▪"/>
      <w:lvlJc w:val="left"/>
      <w:pPr>
        <w:ind w:left="3240" w:hanging="0"/>
      </w:pPr>
      <w:rPr>
        <w:rFonts w:ascii="OpenSymbol" w:hAnsi="OpenSymbol" w:eastAsia="OpenSymbol" w:cs="OpenSymbol"/>
      </w:rPr>
    </w:lvl>
  </w:abstractNum>
  <w:abstractNum w:abstractNumId="11">
    <w:multiLevelType w:val="hybridMultilevel"/>
    <w:name w:val="Нумерованный список 11"/>
    <w:lvl w:ilvl="0">
      <w:numFmt w:val="bullet"/>
      <w:suff w:val="tab"/>
      <w:lvlText w:val="·"/>
      <w:lvlJc w:val="left"/>
      <w:pPr>
        <w:ind w:left="360" w:hanging="0"/>
      </w:pPr>
      <w:rPr>
        <w:rFonts w:ascii="Symbol" w:hAnsi="Symbol"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7170"/>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18"/>
    <w:tmReviewMarkIns w:val="4"/>
    <w:tmReviewColorIns w:val="-1"/>
    <w:tmReviewMarkDel w:val="7"/>
    <w:tmReviewColorDel w:val="-1"/>
    <w:tmReviewMarkFmt w:val="7"/>
    <w:tmReviewColorFmt w:val="-1"/>
    <w:tmReviewMarkLn w:val="1"/>
    <w:tmReviewColorLn w:val="0"/>
    <w:tmReviewToolTip w:val="1"/>
  </w:tmReviewPr>
  <w:tmLastPos>
    <w:tmLastPosPage w:val="3"/>
    <w:tmLastPosSelect w:val="0"/>
    <w:tmLastPosFrameIdx w:val="0"/>
    <w:tmLastPosCaret>
      <w:tmLastPosPgfIdx w:val="110"/>
      <w:tmLastPosIdx w:val="0"/>
    </w:tmLastPosCaret>
    <w:tmLastPosAnchor>
      <w:tmLastPosPgfIdx w:val="0"/>
      <w:tmLastPosIdx w:val="0"/>
    </w:tmLastPosAnchor>
    <w:tmLastPosTblRect w:left="0" w:top="0" w:right="0" w:bottom="0"/>
  </w:tmLastPos>
  <w:tmAppRevision w:date="1770091700" w:val="1215"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vk.com/anzherobussine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ancbs.ucoz.ru/" TargetMode="External"/><Relationship Id="rId14" Type="http://schemas.openxmlformats.org/officeDocument/2006/relationships/header" Target="header3.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РАБОТЕ АДМИНИСТРАЦИИ ГОРОДА АНЖЕРО-СУДЖЕНСКА ЗА 2006 ГОД</dc:title>
  <dc:subject/>
  <dc:creator>Чигряй</dc:creator>
  <cp:keywords/>
  <dc:description/>
  <cp:lastModifiedBy>Екатерина</cp:lastModifiedBy>
  <cp:revision>118</cp:revision>
  <cp:lastPrinted>2025-11-01T03:01:00Z</cp:lastPrinted>
  <dcterms:created xsi:type="dcterms:W3CDTF">2024-10-29T08:51:00Z</dcterms:created>
  <dcterms:modified xsi:type="dcterms:W3CDTF">2026-02-03T04:08:20Z</dcterms:modified>
</cp:coreProperties>
</file>